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EE32B5" w14:textId="77777777" w:rsidR="00DA005F" w:rsidRDefault="00B57960">
      <w:pPr>
        <w:keepNext w:val="0"/>
        <w:keepLines w:val="0"/>
        <w:widowControl w:val="0"/>
        <w:jc w:val="center"/>
      </w:pPr>
      <w:r>
        <w:rPr>
          <w:b/>
          <w:bCs/>
        </w:rPr>
        <w:t>TERMO DE REFERÊNCIA</w:t>
      </w:r>
    </w:p>
    <w:p w14:paraId="2AEE32B6" w14:textId="77777777" w:rsidR="00DA005F" w:rsidRDefault="00B57960">
      <w:pPr>
        <w:pStyle w:val="Ttulo1"/>
        <w:keepNext w:val="0"/>
        <w:widowControl w:val="0"/>
      </w:pPr>
      <w:r>
        <w:t>OBJETO</w:t>
      </w:r>
    </w:p>
    <w:p w14:paraId="2AEE32B7" w14:textId="77777777" w:rsidR="00DA005F" w:rsidRDefault="00B57960">
      <w:pPr>
        <w:keepNext w:val="0"/>
        <w:keepLines w:val="0"/>
        <w:widowControl w:val="0"/>
      </w:pPr>
      <w:r>
        <w:t xml:space="preserve">O objeto da presente licitação consiste na aquisição de </w:t>
      </w:r>
      <w:r>
        <w:rPr>
          <w:b/>
          <w:bCs/>
        </w:rPr>
        <w:t>EQUIPAMENTOS E SUPRIMENTOS PARA SISTEMA DE BACKUP DE DADOS PARA ATENDER AO MUNICÍPIO DE ITAJAÍ</w:t>
      </w:r>
      <w:r>
        <w:t>, de acordo com a descrição e quantitativos especificados neste termo.</w:t>
      </w:r>
    </w:p>
    <w:p w14:paraId="2AEE32B8" w14:textId="77777777" w:rsidR="00DA005F" w:rsidRDefault="00B57960">
      <w:pPr>
        <w:pStyle w:val="Ttulo1"/>
        <w:keepNext w:val="0"/>
        <w:widowControl w:val="0"/>
      </w:pPr>
      <w:r>
        <w:t>JUSTIFICATIVA</w:t>
      </w:r>
    </w:p>
    <w:p w14:paraId="2AEE32B9" w14:textId="77777777" w:rsidR="00DA005F" w:rsidRDefault="00B57960">
      <w:pPr>
        <w:keepNext w:val="0"/>
        <w:keepLines w:val="0"/>
        <w:widowControl w:val="0"/>
      </w:pPr>
      <w:r>
        <w:rPr>
          <w:lang w:eastAsia="hi-IN" w:bidi="hi-IN"/>
        </w:rPr>
        <w:t xml:space="preserve">O atual sistema de backup de dados utilizado pela Secretaria de Tecnologia do Município de Itajaí/SC é composto por hardware que se encontra fora do prazo de garantia do fabricante e sem suporte ao software de backup por parte do seu desenvolvedor. Além disso, devido à forma como o sistema foi concebido, hoje não é possível alocar os equipamentos que compõem o sistema de backup fora do </w:t>
      </w:r>
      <w:r w:rsidRPr="003B164E">
        <w:rPr>
          <w:i/>
          <w:iCs/>
          <w:lang w:eastAsia="hi-IN" w:bidi="hi-IN"/>
        </w:rPr>
        <w:t>Datacenter</w:t>
      </w:r>
      <w:r>
        <w:rPr>
          <w:lang w:eastAsia="hi-IN" w:bidi="hi-IN"/>
        </w:rPr>
        <w:t xml:space="preserve"> do município, o que caracteriza uma falha de segurança. Com intuito de sanar as deficiências do sistema, faz-se necessária a aquisição de </w:t>
      </w:r>
      <w:r>
        <w:rPr>
          <w:b/>
          <w:bCs/>
          <w:lang w:eastAsia="hi-IN" w:bidi="hi-IN"/>
        </w:rPr>
        <w:t>EQUIPAMENTOS E SUPRIMENTOS PARA SISTEMA DE BACKUP DE DADOS PARA ATENDER AO MUNICÍPIO DE ITAJAÍ</w:t>
      </w:r>
      <w:r>
        <w:rPr>
          <w:lang w:eastAsia="hi-IN" w:bidi="hi-IN"/>
        </w:rPr>
        <w:t>.</w:t>
      </w:r>
    </w:p>
    <w:p w14:paraId="2AEE32BA" w14:textId="77777777" w:rsidR="00DA005F" w:rsidRDefault="00B57960">
      <w:pPr>
        <w:pStyle w:val="Ttulo1"/>
        <w:keepNext w:val="0"/>
        <w:widowControl w:val="0"/>
      </w:pPr>
      <w:r>
        <w:t>ESPECIFICAÇÕES TÉCNICAS</w:t>
      </w:r>
    </w:p>
    <w:p w14:paraId="2AEE32BB" w14:textId="77777777" w:rsidR="00DA005F" w:rsidRDefault="00B57960">
      <w:pPr>
        <w:keepNext w:val="0"/>
        <w:keepLines w:val="0"/>
        <w:widowControl w:val="0"/>
      </w:pPr>
      <w:r>
        <w:t>Para compor o novo sistema de backup do município, são necessários os seguintes itens e seus quantitativos, conforme especificações técnicas subsequentes:</w:t>
      </w:r>
    </w:p>
    <w:tbl>
      <w:tblPr>
        <w:tblW w:w="9180" w:type="dxa"/>
        <w:tblInd w:w="28" w:type="dxa"/>
        <w:tblLayout w:type="fixed"/>
        <w:tblCellMar>
          <w:top w:w="28" w:type="dxa"/>
          <w:left w:w="28" w:type="dxa"/>
          <w:bottom w:w="28" w:type="dxa"/>
          <w:right w:w="28" w:type="dxa"/>
        </w:tblCellMar>
        <w:tblLook w:val="04A0" w:firstRow="1" w:lastRow="0" w:firstColumn="1" w:lastColumn="0" w:noHBand="0" w:noVBand="1"/>
      </w:tblPr>
      <w:tblGrid>
        <w:gridCol w:w="1307"/>
        <w:gridCol w:w="1413"/>
        <w:gridCol w:w="4662"/>
        <w:gridCol w:w="1798"/>
      </w:tblGrid>
      <w:tr w:rsidR="00DA005F" w14:paraId="2AEE32C0" w14:textId="77777777">
        <w:trPr>
          <w:trHeight w:val="338"/>
        </w:trPr>
        <w:tc>
          <w:tcPr>
            <w:tcW w:w="1307" w:type="dxa"/>
            <w:tcBorders>
              <w:top w:val="single" w:sz="2" w:space="0" w:color="000000"/>
              <w:left w:val="single" w:sz="2" w:space="0" w:color="000000"/>
              <w:bottom w:val="single" w:sz="2" w:space="0" w:color="000000"/>
            </w:tcBorders>
            <w:shd w:val="clear" w:color="auto" w:fill="CCCCCC"/>
            <w:vAlign w:val="center"/>
          </w:tcPr>
          <w:p w14:paraId="2AEE32BC" w14:textId="77777777" w:rsidR="00DA005F" w:rsidRDefault="00B57960">
            <w:pPr>
              <w:pStyle w:val="TableContents"/>
              <w:keepNext w:val="0"/>
              <w:keepLines w:val="0"/>
              <w:widowControl w:val="0"/>
              <w:spacing w:after="0"/>
              <w:jc w:val="center"/>
              <w:rPr>
                <w:b/>
                <w:bCs/>
              </w:rPr>
            </w:pPr>
            <w:r>
              <w:rPr>
                <w:b/>
                <w:bCs/>
              </w:rPr>
              <w:t>Lote</w:t>
            </w:r>
          </w:p>
        </w:tc>
        <w:tc>
          <w:tcPr>
            <w:tcW w:w="1413" w:type="dxa"/>
            <w:tcBorders>
              <w:top w:val="single" w:sz="2" w:space="0" w:color="000000"/>
              <w:left w:val="single" w:sz="2" w:space="0" w:color="000000"/>
              <w:bottom w:val="single" w:sz="2" w:space="0" w:color="000000"/>
            </w:tcBorders>
            <w:shd w:val="clear" w:color="auto" w:fill="CCCCCC"/>
            <w:vAlign w:val="center"/>
          </w:tcPr>
          <w:p w14:paraId="2AEE32BD" w14:textId="77777777" w:rsidR="00DA005F" w:rsidRDefault="00B57960">
            <w:pPr>
              <w:pStyle w:val="TableContents"/>
              <w:keepNext w:val="0"/>
              <w:keepLines w:val="0"/>
              <w:widowControl w:val="0"/>
              <w:spacing w:after="0"/>
              <w:jc w:val="center"/>
              <w:rPr>
                <w:b/>
                <w:bCs/>
              </w:rPr>
            </w:pPr>
            <w:r>
              <w:rPr>
                <w:b/>
                <w:bCs/>
              </w:rPr>
              <w:t>Item</w:t>
            </w:r>
          </w:p>
        </w:tc>
        <w:tc>
          <w:tcPr>
            <w:tcW w:w="4661" w:type="dxa"/>
            <w:tcBorders>
              <w:top w:val="single" w:sz="2" w:space="0" w:color="000000"/>
              <w:left w:val="single" w:sz="2" w:space="0" w:color="000000"/>
              <w:bottom w:val="single" w:sz="2" w:space="0" w:color="000000"/>
            </w:tcBorders>
            <w:shd w:val="clear" w:color="auto" w:fill="CCCCCC"/>
            <w:vAlign w:val="center"/>
          </w:tcPr>
          <w:p w14:paraId="2AEE32BE" w14:textId="77777777" w:rsidR="00DA005F" w:rsidRDefault="00B57960">
            <w:pPr>
              <w:pStyle w:val="TableContents"/>
              <w:keepNext w:val="0"/>
              <w:keepLines w:val="0"/>
              <w:widowControl w:val="0"/>
              <w:spacing w:after="0"/>
              <w:jc w:val="center"/>
              <w:rPr>
                <w:b/>
                <w:bCs/>
              </w:rPr>
            </w:pPr>
            <w:r>
              <w:rPr>
                <w:b/>
                <w:bCs/>
              </w:rPr>
              <w:t>DESCRIÇÃO</w:t>
            </w:r>
          </w:p>
        </w:tc>
        <w:tc>
          <w:tcPr>
            <w:tcW w:w="1798" w:type="dxa"/>
            <w:tcBorders>
              <w:top w:val="single" w:sz="2" w:space="0" w:color="000000"/>
              <w:left w:val="single" w:sz="2" w:space="0" w:color="000000"/>
              <w:bottom w:val="single" w:sz="2" w:space="0" w:color="000000"/>
              <w:right w:val="single" w:sz="2" w:space="0" w:color="000000"/>
            </w:tcBorders>
            <w:shd w:val="clear" w:color="auto" w:fill="CCCCCC"/>
            <w:vAlign w:val="center"/>
          </w:tcPr>
          <w:p w14:paraId="2AEE32BF" w14:textId="77777777" w:rsidR="00DA005F" w:rsidRDefault="00B57960">
            <w:pPr>
              <w:pStyle w:val="TableContents"/>
              <w:keepNext w:val="0"/>
              <w:keepLines w:val="0"/>
              <w:widowControl w:val="0"/>
              <w:spacing w:after="0"/>
              <w:jc w:val="center"/>
              <w:rPr>
                <w:b/>
                <w:bCs/>
              </w:rPr>
            </w:pPr>
            <w:r>
              <w:rPr>
                <w:b/>
                <w:bCs/>
              </w:rPr>
              <w:t>QUANTIDADE</w:t>
            </w:r>
          </w:p>
        </w:tc>
      </w:tr>
      <w:tr w:rsidR="00DA005F" w14:paraId="2AEE32C5" w14:textId="77777777">
        <w:tc>
          <w:tcPr>
            <w:tcW w:w="1307" w:type="dxa"/>
            <w:vMerge w:val="restart"/>
            <w:tcBorders>
              <w:left w:val="single" w:sz="2" w:space="0" w:color="000000"/>
              <w:bottom w:val="single" w:sz="2" w:space="0" w:color="000000"/>
            </w:tcBorders>
            <w:vAlign w:val="center"/>
          </w:tcPr>
          <w:p w14:paraId="2AEE32C1" w14:textId="77777777" w:rsidR="00DA005F" w:rsidRDefault="00B57960">
            <w:pPr>
              <w:pStyle w:val="TableContents"/>
              <w:keepNext w:val="0"/>
              <w:keepLines w:val="0"/>
              <w:widowControl w:val="0"/>
              <w:spacing w:after="0"/>
              <w:jc w:val="center"/>
            </w:pPr>
            <w:r>
              <w:t>1</w:t>
            </w:r>
          </w:p>
        </w:tc>
        <w:tc>
          <w:tcPr>
            <w:tcW w:w="1413" w:type="dxa"/>
            <w:tcBorders>
              <w:left w:val="single" w:sz="2" w:space="0" w:color="000000"/>
              <w:bottom w:val="single" w:sz="2" w:space="0" w:color="000000"/>
            </w:tcBorders>
            <w:vAlign w:val="center"/>
          </w:tcPr>
          <w:p w14:paraId="2AEE32C2" w14:textId="77777777" w:rsidR="00DA005F" w:rsidRDefault="00B57960">
            <w:pPr>
              <w:pStyle w:val="TableContents"/>
              <w:keepNext w:val="0"/>
              <w:keepLines w:val="0"/>
              <w:widowControl w:val="0"/>
              <w:spacing w:after="0"/>
              <w:jc w:val="center"/>
            </w:pPr>
            <w:r>
              <w:t>3.1</w:t>
            </w:r>
          </w:p>
        </w:tc>
        <w:tc>
          <w:tcPr>
            <w:tcW w:w="4661" w:type="dxa"/>
            <w:tcBorders>
              <w:left w:val="single" w:sz="2" w:space="0" w:color="000000"/>
              <w:bottom w:val="single" w:sz="2" w:space="0" w:color="000000"/>
            </w:tcBorders>
            <w:vAlign w:val="center"/>
          </w:tcPr>
          <w:p w14:paraId="2AEE32C3" w14:textId="77777777" w:rsidR="00DA005F" w:rsidRDefault="00B57960">
            <w:pPr>
              <w:pStyle w:val="TableContents"/>
              <w:keepNext w:val="0"/>
              <w:keepLines w:val="0"/>
              <w:widowControl w:val="0"/>
              <w:spacing w:after="0"/>
            </w:pPr>
            <w:r>
              <w:t>SERVIDOR</w:t>
            </w:r>
          </w:p>
        </w:tc>
        <w:tc>
          <w:tcPr>
            <w:tcW w:w="1798" w:type="dxa"/>
            <w:tcBorders>
              <w:left w:val="single" w:sz="2" w:space="0" w:color="000000"/>
              <w:bottom w:val="single" w:sz="2" w:space="0" w:color="000000"/>
              <w:right w:val="single" w:sz="2" w:space="0" w:color="000000"/>
            </w:tcBorders>
            <w:vAlign w:val="center"/>
          </w:tcPr>
          <w:p w14:paraId="2AEE32C4" w14:textId="77777777" w:rsidR="00DA005F" w:rsidRDefault="00B57960">
            <w:pPr>
              <w:pStyle w:val="TableContents"/>
              <w:keepNext w:val="0"/>
              <w:keepLines w:val="0"/>
              <w:widowControl w:val="0"/>
              <w:spacing w:after="0"/>
              <w:jc w:val="center"/>
            </w:pPr>
            <w:r>
              <w:t>1</w:t>
            </w:r>
          </w:p>
        </w:tc>
      </w:tr>
      <w:tr w:rsidR="00DA005F" w14:paraId="2AEE32CA" w14:textId="77777777">
        <w:tc>
          <w:tcPr>
            <w:tcW w:w="1307" w:type="dxa"/>
            <w:vMerge/>
            <w:tcBorders>
              <w:left w:val="single" w:sz="2" w:space="0" w:color="000000"/>
              <w:bottom w:val="single" w:sz="2" w:space="0" w:color="000000"/>
            </w:tcBorders>
            <w:vAlign w:val="center"/>
          </w:tcPr>
          <w:p w14:paraId="2AEE32C6" w14:textId="77777777" w:rsidR="00DA005F" w:rsidRDefault="00DA005F">
            <w:pPr>
              <w:pStyle w:val="TableContents"/>
              <w:keepNext w:val="0"/>
              <w:keepLines w:val="0"/>
              <w:widowControl w:val="0"/>
              <w:spacing w:after="0"/>
              <w:jc w:val="center"/>
            </w:pPr>
          </w:p>
        </w:tc>
        <w:tc>
          <w:tcPr>
            <w:tcW w:w="1413" w:type="dxa"/>
            <w:tcBorders>
              <w:left w:val="single" w:sz="2" w:space="0" w:color="000000"/>
              <w:bottom w:val="single" w:sz="2" w:space="0" w:color="000000"/>
            </w:tcBorders>
            <w:vAlign w:val="center"/>
          </w:tcPr>
          <w:p w14:paraId="2AEE32C7" w14:textId="77777777" w:rsidR="00DA005F" w:rsidRDefault="00B57960">
            <w:pPr>
              <w:pStyle w:val="TableContents"/>
              <w:keepNext w:val="0"/>
              <w:keepLines w:val="0"/>
              <w:widowControl w:val="0"/>
              <w:spacing w:after="0"/>
              <w:jc w:val="center"/>
            </w:pPr>
            <w:r>
              <w:t>3.2</w:t>
            </w:r>
          </w:p>
        </w:tc>
        <w:tc>
          <w:tcPr>
            <w:tcW w:w="4661" w:type="dxa"/>
            <w:tcBorders>
              <w:left w:val="single" w:sz="2" w:space="0" w:color="000000"/>
              <w:bottom w:val="single" w:sz="2" w:space="0" w:color="000000"/>
            </w:tcBorders>
            <w:vAlign w:val="center"/>
          </w:tcPr>
          <w:p w14:paraId="2AEE32C8" w14:textId="77777777" w:rsidR="00DA005F" w:rsidRDefault="00B57960">
            <w:pPr>
              <w:pStyle w:val="TableContents"/>
              <w:keepNext w:val="0"/>
              <w:keepLines w:val="0"/>
              <w:widowControl w:val="0"/>
              <w:spacing w:after="0"/>
            </w:pPr>
            <w:r>
              <w:t>TAPE LIBRARY</w:t>
            </w:r>
          </w:p>
        </w:tc>
        <w:tc>
          <w:tcPr>
            <w:tcW w:w="1798" w:type="dxa"/>
            <w:tcBorders>
              <w:left w:val="single" w:sz="2" w:space="0" w:color="000000"/>
              <w:bottom w:val="single" w:sz="2" w:space="0" w:color="000000"/>
              <w:right w:val="single" w:sz="2" w:space="0" w:color="000000"/>
            </w:tcBorders>
            <w:vAlign w:val="center"/>
          </w:tcPr>
          <w:p w14:paraId="2AEE32C9" w14:textId="77777777" w:rsidR="00DA005F" w:rsidRDefault="00B57960">
            <w:pPr>
              <w:pStyle w:val="TableContents"/>
              <w:keepNext w:val="0"/>
              <w:keepLines w:val="0"/>
              <w:widowControl w:val="0"/>
              <w:spacing w:after="0"/>
              <w:jc w:val="center"/>
            </w:pPr>
            <w:r>
              <w:t>1</w:t>
            </w:r>
          </w:p>
        </w:tc>
      </w:tr>
      <w:tr w:rsidR="00DA005F" w14:paraId="2AEE32CF" w14:textId="77777777">
        <w:tc>
          <w:tcPr>
            <w:tcW w:w="1307" w:type="dxa"/>
            <w:tcBorders>
              <w:left w:val="single" w:sz="2" w:space="0" w:color="000000"/>
              <w:bottom w:val="single" w:sz="2" w:space="0" w:color="000000"/>
            </w:tcBorders>
            <w:vAlign w:val="center"/>
          </w:tcPr>
          <w:p w14:paraId="2AEE32CB" w14:textId="77777777" w:rsidR="00DA005F" w:rsidRDefault="00B57960">
            <w:pPr>
              <w:pStyle w:val="TableContents"/>
              <w:keepNext w:val="0"/>
              <w:keepLines w:val="0"/>
              <w:widowControl w:val="0"/>
              <w:spacing w:after="0"/>
              <w:jc w:val="center"/>
            </w:pPr>
            <w:r>
              <w:t>2</w:t>
            </w:r>
          </w:p>
        </w:tc>
        <w:tc>
          <w:tcPr>
            <w:tcW w:w="1413" w:type="dxa"/>
            <w:tcBorders>
              <w:left w:val="single" w:sz="2" w:space="0" w:color="000000"/>
              <w:bottom w:val="single" w:sz="2" w:space="0" w:color="000000"/>
            </w:tcBorders>
            <w:vAlign w:val="center"/>
          </w:tcPr>
          <w:p w14:paraId="2AEE32CC" w14:textId="77777777" w:rsidR="00DA005F" w:rsidRDefault="00B57960">
            <w:pPr>
              <w:pStyle w:val="TableContents"/>
              <w:keepNext w:val="0"/>
              <w:keepLines w:val="0"/>
              <w:widowControl w:val="0"/>
              <w:spacing w:after="0"/>
              <w:jc w:val="center"/>
            </w:pPr>
            <w:r>
              <w:t>3.3</w:t>
            </w:r>
          </w:p>
        </w:tc>
        <w:tc>
          <w:tcPr>
            <w:tcW w:w="4661" w:type="dxa"/>
            <w:tcBorders>
              <w:left w:val="single" w:sz="2" w:space="0" w:color="000000"/>
              <w:bottom w:val="single" w:sz="2" w:space="0" w:color="000000"/>
            </w:tcBorders>
            <w:vAlign w:val="center"/>
          </w:tcPr>
          <w:p w14:paraId="2AEE32CD" w14:textId="77777777" w:rsidR="00DA005F" w:rsidRDefault="00B57960">
            <w:pPr>
              <w:pStyle w:val="TableContents"/>
              <w:keepNext w:val="0"/>
              <w:keepLines w:val="0"/>
              <w:widowControl w:val="0"/>
              <w:spacing w:after="0"/>
            </w:pPr>
            <w:r>
              <w:t>MÍDIA MAGNÉTICA</w:t>
            </w:r>
          </w:p>
        </w:tc>
        <w:tc>
          <w:tcPr>
            <w:tcW w:w="1798" w:type="dxa"/>
            <w:tcBorders>
              <w:left w:val="single" w:sz="2" w:space="0" w:color="000000"/>
              <w:bottom w:val="single" w:sz="2" w:space="0" w:color="000000"/>
              <w:right w:val="single" w:sz="2" w:space="0" w:color="000000"/>
            </w:tcBorders>
            <w:vAlign w:val="center"/>
          </w:tcPr>
          <w:p w14:paraId="2AEE32CE" w14:textId="77777777" w:rsidR="00DA005F" w:rsidRDefault="00B57960">
            <w:pPr>
              <w:pStyle w:val="TableContents"/>
              <w:keepNext w:val="0"/>
              <w:keepLines w:val="0"/>
              <w:widowControl w:val="0"/>
              <w:spacing w:after="0"/>
              <w:jc w:val="center"/>
            </w:pPr>
            <w:r>
              <w:t>10</w:t>
            </w:r>
          </w:p>
        </w:tc>
      </w:tr>
      <w:tr w:rsidR="00DA005F" w14:paraId="2AEE32D4" w14:textId="77777777">
        <w:tc>
          <w:tcPr>
            <w:tcW w:w="1307" w:type="dxa"/>
            <w:tcBorders>
              <w:left w:val="single" w:sz="2" w:space="0" w:color="000000"/>
              <w:bottom w:val="single" w:sz="2" w:space="0" w:color="000000"/>
            </w:tcBorders>
            <w:vAlign w:val="center"/>
          </w:tcPr>
          <w:p w14:paraId="2AEE32D0" w14:textId="77777777" w:rsidR="00DA005F" w:rsidRDefault="00B57960">
            <w:pPr>
              <w:pStyle w:val="TableContents"/>
              <w:keepNext w:val="0"/>
              <w:keepLines w:val="0"/>
              <w:widowControl w:val="0"/>
              <w:spacing w:after="0"/>
              <w:jc w:val="center"/>
            </w:pPr>
            <w:r>
              <w:t>3</w:t>
            </w:r>
          </w:p>
        </w:tc>
        <w:tc>
          <w:tcPr>
            <w:tcW w:w="1413" w:type="dxa"/>
            <w:tcBorders>
              <w:left w:val="single" w:sz="2" w:space="0" w:color="000000"/>
              <w:bottom w:val="single" w:sz="2" w:space="0" w:color="000000"/>
            </w:tcBorders>
            <w:vAlign w:val="center"/>
          </w:tcPr>
          <w:p w14:paraId="2AEE32D1" w14:textId="77777777" w:rsidR="00DA005F" w:rsidRDefault="00B57960">
            <w:pPr>
              <w:pStyle w:val="TableContents"/>
              <w:keepNext w:val="0"/>
              <w:keepLines w:val="0"/>
              <w:widowControl w:val="0"/>
              <w:spacing w:after="0"/>
              <w:jc w:val="center"/>
            </w:pPr>
            <w:r>
              <w:t>3.4</w:t>
            </w:r>
          </w:p>
        </w:tc>
        <w:tc>
          <w:tcPr>
            <w:tcW w:w="4661" w:type="dxa"/>
            <w:tcBorders>
              <w:left w:val="single" w:sz="2" w:space="0" w:color="000000"/>
              <w:bottom w:val="single" w:sz="2" w:space="0" w:color="000000"/>
            </w:tcBorders>
            <w:vAlign w:val="center"/>
          </w:tcPr>
          <w:p w14:paraId="2AEE32D2" w14:textId="77777777" w:rsidR="00DA005F" w:rsidRDefault="00B57960">
            <w:pPr>
              <w:pStyle w:val="TableContents"/>
              <w:keepNext w:val="0"/>
              <w:keepLines w:val="0"/>
              <w:widowControl w:val="0"/>
              <w:spacing w:after="0"/>
            </w:pPr>
            <w:r>
              <w:t>NOBREAK</w:t>
            </w:r>
          </w:p>
        </w:tc>
        <w:tc>
          <w:tcPr>
            <w:tcW w:w="1798" w:type="dxa"/>
            <w:tcBorders>
              <w:left w:val="single" w:sz="2" w:space="0" w:color="000000"/>
              <w:bottom w:val="single" w:sz="2" w:space="0" w:color="000000"/>
              <w:right w:val="single" w:sz="2" w:space="0" w:color="000000"/>
            </w:tcBorders>
            <w:vAlign w:val="center"/>
          </w:tcPr>
          <w:p w14:paraId="2AEE32D3" w14:textId="77777777" w:rsidR="00DA005F" w:rsidRDefault="00B57960">
            <w:pPr>
              <w:pStyle w:val="TableContents"/>
              <w:keepNext w:val="0"/>
              <w:keepLines w:val="0"/>
              <w:widowControl w:val="0"/>
              <w:spacing w:after="0"/>
              <w:jc w:val="center"/>
            </w:pPr>
            <w:r>
              <w:t>1</w:t>
            </w:r>
          </w:p>
        </w:tc>
      </w:tr>
    </w:tbl>
    <w:p w14:paraId="2AEE32D5" w14:textId="77777777" w:rsidR="00DA005F" w:rsidRDefault="00B57960">
      <w:pPr>
        <w:pStyle w:val="Ttulo2"/>
        <w:keepNext w:val="0"/>
        <w:widowControl w:val="0"/>
      </w:pPr>
      <w:r>
        <w:rPr>
          <w:b/>
          <w:bCs/>
        </w:rPr>
        <w:t>SERVIDOR</w:t>
      </w:r>
      <w:r>
        <w:t>: Computador para execução do software de backup e armazenamento de dados em primeiro nível, conforme as características abaixo:</w:t>
      </w:r>
    </w:p>
    <w:p w14:paraId="2AEE32D6" w14:textId="77777777" w:rsidR="00DA005F" w:rsidRDefault="00B57960">
      <w:pPr>
        <w:pStyle w:val="Ttulo3"/>
        <w:keepNext w:val="0"/>
        <w:widowControl w:val="0"/>
        <w:spacing w:line="360" w:lineRule="auto"/>
      </w:pPr>
      <w:r>
        <w:lastRenderedPageBreak/>
        <w:t>Gabinete em formato torre com base (pés) para disposição vertical;</w:t>
      </w:r>
    </w:p>
    <w:p w14:paraId="2AEE32D7" w14:textId="77777777" w:rsidR="00DA005F" w:rsidRDefault="00B57960">
      <w:pPr>
        <w:pStyle w:val="Ttulo3"/>
        <w:keepNext w:val="0"/>
        <w:widowControl w:val="0"/>
        <w:spacing w:line="360" w:lineRule="auto"/>
      </w:pPr>
      <w:r>
        <w:t>Conector de vídeo externo tipo VGA;</w:t>
      </w:r>
    </w:p>
    <w:p w14:paraId="2AEE32D8" w14:textId="77777777" w:rsidR="00DA005F" w:rsidRDefault="00B57960">
      <w:pPr>
        <w:pStyle w:val="Ttulo3"/>
        <w:keepNext w:val="0"/>
        <w:widowControl w:val="0"/>
        <w:spacing w:line="360" w:lineRule="auto"/>
      </w:pPr>
      <w:r>
        <w:t>Ao menos 3 (três) portas USB 2.0 externas;</w:t>
      </w:r>
    </w:p>
    <w:p w14:paraId="2AEE32D9" w14:textId="77777777" w:rsidR="00DA005F" w:rsidRDefault="00B57960">
      <w:pPr>
        <w:pStyle w:val="Ttulo3"/>
        <w:keepNext w:val="0"/>
        <w:widowControl w:val="0"/>
        <w:spacing w:line="360" w:lineRule="auto"/>
      </w:pPr>
      <w:r>
        <w:t>No mínimo 1 (um) processador de arquitetura x86-64 padrão de mercado com as seguintes especificações:</w:t>
      </w:r>
    </w:p>
    <w:p w14:paraId="2AEE32DA" w14:textId="77777777" w:rsidR="00DA005F" w:rsidRDefault="00B57960">
      <w:pPr>
        <w:pStyle w:val="Ttulo4"/>
        <w:keepNext w:val="0"/>
        <w:widowControl w:val="0"/>
        <w:spacing w:line="360" w:lineRule="auto"/>
        <w:ind w:hanging="864"/>
      </w:pPr>
      <w:r>
        <w:t>Clock mínimo 3 GHz (três gigahertz);</w:t>
      </w:r>
    </w:p>
    <w:p w14:paraId="2AEE32DB" w14:textId="77777777" w:rsidR="00DA005F" w:rsidRDefault="00B57960">
      <w:pPr>
        <w:pStyle w:val="Ttulo4"/>
        <w:keepNext w:val="0"/>
        <w:widowControl w:val="0"/>
        <w:spacing w:line="360" w:lineRule="auto"/>
        <w:ind w:hanging="864"/>
      </w:pPr>
      <w:r>
        <w:rPr>
          <w:color w:val="000000"/>
        </w:rPr>
        <w:t>No mínimo 4 (quatro) núcleos (cores) de processamento;</w:t>
      </w:r>
    </w:p>
    <w:p w14:paraId="2AEE32DC" w14:textId="77777777" w:rsidR="00DA005F" w:rsidRDefault="00B57960">
      <w:pPr>
        <w:pStyle w:val="Ttulo4"/>
        <w:keepNext w:val="0"/>
        <w:widowControl w:val="0"/>
        <w:spacing w:line="360" w:lineRule="auto"/>
        <w:ind w:hanging="864"/>
      </w:pPr>
      <w:r>
        <w:t>No mínimo 8 MB (oito megabytes) de cache L3;</w:t>
      </w:r>
    </w:p>
    <w:p w14:paraId="2AEE32DD" w14:textId="77777777" w:rsidR="00DA005F" w:rsidRDefault="00B57960">
      <w:pPr>
        <w:pStyle w:val="Ttulo4"/>
        <w:keepNext w:val="0"/>
        <w:widowControl w:val="0"/>
        <w:spacing w:line="360" w:lineRule="auto"/>
        <w:ind w:hanging="864"/>
      </w:pPr>
      <w:r>
        <w:t>Suporte à memória RAM tipo DDR4-3200;</w:t>
      </w:r>
    </w:p>
    <w:p w14:paraId="2AEE32DE" w14:textId="77777777" w:rsidR="00DA005F" w:rsidRDefault="00B57960">
      <w:pPr>
        <w:pStyle w:val="Ttulo3"/>
        <w:keepNext w:val="0"/>
        <w:widowControl w:val="0"/>
        <w:spacing w:line="360" w:lineRule="auto"/>
      </w:pPr>
      <w:r>
        <w:t>No mínimo 32 GB (trinta e dois gigabytes) de memória RAM tipo DDR4-3200;</w:t>
      </w:r>
    </w:p>
    <w:p w14:paraId="2AEE32DF" w14:textId="77777777" w:rsidR="00DA005F" w:rsidRDefault="00B57960">
      <w:pPr>
        <w:pStyle w:val="Ttulo3"/>
        <w:keepNext w:val="0"/>
        <w:widowControl w:val="0"/>
        <w:spacing w:line="360" w:lineRule="auto"/>
      </w:pPr>
      <w:r>
        <w:t>Possibilidade de expansão até 128 GB (cento e vinte e oito gigabytes) de memória RAM;</w:t>
      </w:r>
    </w:p>
    <w:p w14:paraId="2AEE32E0" w14:textId="77777777" w:rsidR="00DA005F" w:rsidRDefault="00B57960">
      <w:pPr>
        <w:pStyle w:val="Ttulo3"/>
        <w:keepNext w:val="0"/>
        <w:widowControl w:val="0"/>
        <w:spacing w:line="360" w:lineRule="auto"/>
      </w:pPr>
      <w:r>
        <w:t>Armazenamento interno composto por:</w:t>
      </w:r>
    </w:p>
    <w:p w14:paraId="2AEE32E1" w14:textId="77777777" w:rsidR="00DA005F" w:rsidRDefault="00B57960">
      <w:pPr>
        <w:pStyle w:val="Ttulo4"/>
        <w:keepNext w:val="0"/>
        <w:widowControl w:val="0"/>
        <w:spacing w:line="360" w:lineRule="auto"/>
        <w:ind w:hanging="864"/>
      </w:pPr>
      <w:r>
        <w:t>Placa controladora SATA 6 Gb/s (seis gigabits por segundo) e SAS 12 Gb/s (doze gigabits por segundo) com no mínimo 8 GB (oito gigabytes) de memória cache e suporte aos níveis de redundância RAID-1, RAID-5 e RAID-6;</w:t>
      </w:r>
    </w:p>
    <w:p w14:paraId="2AEE32E2" w14:textId="77777777" w:rsidR="00DA005F" w:rsidRDefault="00B57960">
      <w:pPr>
        <w:pStyle w:val="Ttulo4"/>
        <w:keepNext w:val="0"/>
        <w:widowControl w:val="0"/>
        <w:spacing w:line="360" w:lineRule="auto"/>
        <w:ind w:left="850" w:hanging="850"/>
      </w:pPr>
      <w:r>
        <w:t>2 (duas) unidades de estado sólido (SSD) SAS 6 Gb/s (seis gigabits por segundo), tamanho mínimo de 480 GB (quatrocentos e oitenta gigabytes) cada, uso misto (MU), com possibilidade de troca quente (hot swap) e configuradas em RAID-1;</w:t>
      </w:r>
    </w:p>
    <w:p w14:paraId="2AEE32E3" w14:textId="77777777" w:rsidR="00DA005F" w:rsidRDefault="00B57960">
      <w:pPr>
        <w:pStyle w:val="Ttulo4"/>
        <w:keepNext w:val="0"/>
        <w:widowControl w:val="0"/>
        <w:spacing w:line="360" w:lineRule="auto"/>
        <w:ind w:left="850" w:hanging="850"/>
      </w:pPr>
      <w:r>
        <w:t>6 (seis) unidades de disco rígido (HD) SAS/NLSAS 12 Gb/s (doze gigabits por segundo), tamanho mínimo de 2 TB (dois terabytes) cada, com possibilidade de troca quente (hot swap) e configuradas em RAID-5;</w:t>
      </w:r>
    </w:p>
    <w:p w14:paraId="2AEE32E4" w14:textId="77777777" w:rsidR="00DA005F" w:rsidRDefault="00B57960">
      <w:pPr>
        <w:pStyle w:val="Ttulo4"/>
        <w:keepNext w:val="0"/>
        <w:widowControl w:val="0"/>
        <w:spacing w:line="360" w:lineRule="auto"/>
        <w:ind w:left="850" w:hanging="850"/>
      </w:pPr>
      <w:r>
        <w:t>A redundância de armazenamento (RAID) deve ser implementada no hardware da controladora. Não é permitida solução de redundância de armazenamento baseada em software;</w:t>
      </w:r>
    </w:p>
    <w:p w14:paraId="2AEE32E5" w14:textId="77777777" w:rsidR="00DA005F" w:rsidRDefault="00B57960">
      <w:pPr>
        <w:pStyle w:val="Ttulo3"/>
        <w:keepNext w:val="0"/>
        <w:widowControl w:val="0"/>
        <w:spacing w:line="360" w:lineRule="auto"/>
      </w:pPr>
      <w:r>
        <w:lastRenderedPageBreak/>
        <w:t>Placa controladora SAS 6 Gb/s (seis gigabits por segundo) com 2 (duas) interfaces externas. Deve acompanhar 1 (um) cabo padrão SAS/Mini-SAS/HD-Mini-SAS compatível com a placa controladora (descrita no tópico 3.1.7.1 deste termo) e com o padrão de conectividade da TAPE LIBRARY (especificada no tópico 3.2 deste termo), com comprimento mínimo de 1,5 m (um metro e meio);</w:t>
      </w:r>
    </w:p>
    <w:p w14:paraId="2AEE32E6" w14:textId="77777777" w:rsidR="00DA005F" w:rsidRDefault="00B57960">
      <w:pPr>
        <w:pStyle w:val="Ttulo3"/>
        <w:keepNext w:val="0"/>
        <w:widowControl w:val="0"/>
        <w:spacing w:line="360" w:lineRule="auto"/>
      </w:pPr>
      <w:r>
        <w:t>No mínimo 2 (duas) interfaces de rede padrão Gigabit Ethernet 1000BASE-T;</w:t>
      </w:r>
    </w:p>
    <w:p w14:paraId="2AEE32E7" w14:textId="77777777" w:rsidR="00DA005F" w:rsidRDefault="00B57960">
      <w:pPr>
        <w:pStyle w:val="Ttulo3"/>
        <w:keepNext w:val="0"/>
        <w:widowControl w:val="0"/>
        <w:spacing w:line="360" w:lineRule="auto"/>
      </w:pPr>
      <w:r>
        <w:t>Módulo de gerenciamento Out-Of-Band com as seguintes características:</w:t>
      </w:r>
    </w:p>
    <w:p w14:paraId="2AEE32E8" w14:textId="77777777" w:rsidR="00DA005F" w:rsidRDefault="00B57960">
      <w:pPr>
        <w:pStyle w:val="Ttulo4"/>
        <w:keepNext w:val="0"/>
        <w:widowControl w:val="0"/>
        <w:spacing w:line="360" w:lineRule="auto"/>
        <w:ind w:hanging="864"/>
      </w:pPr>
      <w:r>
        <w:t>Interface de rede dedicada padrão Gigabit Ehernet 1000BASE-T;</w:t>
      </w:r>
    </w:p>
    <w:p w14:paraId="2AEE32E9" w14:textId="77777777" w:rsidR="00DA005F" w:rsidRDefault="00B57960">
      <w:pPr>
        <w:pStyle w:val="Ttulo4"/>
        <w:keepNext w:val="0"/>
        <w:widowControl w:val="0"/>
        <w:spacing w:line="360" w:lineRule="auto"/>
        <w:ind w:hanging="864"/>
      </w:pPr>
      <w:r>
        <w:t>Gerenciamento das funções do servidor: ligar, desligar e reiniciar;</w:t>
      </w:r>
    </w:p>
    <w:p w14:paraId="2AEE32EA" w14:textId="77777777" w:rsidR="00DA005F" w:rsidRDefault="00B57960">
      <w:pPr>
        <w:pStyle w:val="Ttulo4"/>
        <w:keepNext w:val="0"/>
        <w:widowControl w:val="0"/>
        <w:spacing w:line="360" w:lineRule="auto"/>
        <w:ind w:hanging="864"/>
      </w:pPr>
      <w:r>
        <w:t>Monitoramento dos componentes de hardware, ventilação, temperatura, consumo de energia, etc;</w:t>
      </w:r>
    </w:p>
    <w:p w14:paraId="2AEE32EB" w14:textId="77777777" w:rsidR="00DA005F" w:rsidRDefault="00B57960">
      <w:pPr>
        <w:pStyle w:val="Ttulo4"/>
        <w:keepNext w:val="0"/>
        <w:widowControl w:val="0"/>
        <w:spacing w:line="360" w:lineRule="auto"/>
        <w:ind w:hanging="864"/>
      </w:pPr>
      <w:r>
        <w:t>Interface de gerenciamento WEB compatível com os navegadores padrão de mercado (Microsoft Edge, Mozilla Firefox, Google Chrome, etc.);</w:t>
      </w:r>
    </w:p>
    <w:p w14:paraId="2AEE32EC" w14:textId="77777777" w:rsidR="00DA005F" w:rsidRDefault="00B57960">
      <w:pPr>
        <w:pStyle w:val="Ttulo4"/>
        <w:keepNext w:val="0"/>
        <w:widowControl w:val="0"/>
        <w:spacing w:line="360" w:lineRule="auto"/>
        <w:ind w:hanging="864"/>
      </w:pPr>
      <w:r>
        <w:t>Funcionalidade Virtual Console. Deve permitir conexão ao console do servidor (vídeo e teclado) virtualmente, a partir de navegador de WEB;</w:t>
      </w:r>
    </w:p>
    <w:p w14:paraId="2AEE32ED" w14:textId="77777777" w:rsidR="00DA005F" w:rsidRDefault="00B57960">
      <w:pPr>
        <w:pStyle w:val="Ttulo4"/>
        <w:keepNext w:val="0"/>
        <w:widowControl w:val="0"/>
        <w:spacing w:line="360" w:lineRule="auto"/>
        <w:ind w:hanging="864"/>
      </w:pPr>
      <w:r>
        <w:t>Funcionalidade Virtual Media. Deve permitir montagem de arquivos ISO a partir de navegador WEB;</w:t>
      </w:r>
    </w:p>
    <w:p w14:paraId="2AEE32EE" w14:textId="77777777" w:rsidR="00DA005F" w:rsidRDefault="00B57960">
      <w:pPr>
        <w:pStyle w:val="Ttulo4"/>
        <w:keepNext w:val="0"/>
        <w:widowControl w:val="0"/>
        <w:spacing w:line="360" w:lineRule="auto"/>
        <w:ind w:hanging="864"/>
      </w:pPr>
      <w:r>
        <w:t>Possibilidade de configuração de alertas via E-mail e SNMP Trap;</w:t>
      </w:r>
    </w:p>
    <w:p w14:paraId="2AEE32EF" w14:textId="77777777" w:rsidR="00DA005F" w:rsidRDefault="00B57960">
      <w:pPr>
        <w:pStyle w:val="Ttulo4"/>
        <w:keepNext w:val="0"/>
        <w:widowControl w:val="0"/>
        <w:spacing w:line="360" w:lineRule="auto"/>
        <w:ind w:hanging="864"/>
      </w:pPr>
      <w:r>
        <w:t>Controle de acesso via login e senha;</w:t>
      </w:r>
    </w:p>
    <w:p w14:paraId="2AEE32F0" w14:textId="77777777" w:rsidR="00DA005F" w:rsidRDefault="00B57960">
      <w:pPr>
        <w:pStyle w:val="Ttulo3"/>
        <w:keepNext w:val="0"/>
        <w:widowControl w:val="0"/>
        <w:spacing w:line="360" w:lineRule="auto"/>
      </w:pPr>
      <w:r>
        <w:t>O hardware que compõe o servidor deve ser compatível, mas não limitado, com os seguintes sistemas operacionais:</w:t>
      </w:r>
    </w:p>
    <w:p w14:paraId="2AEE32F1" w14:textId="77777777" w:rsidR="00DA005F" w:rsidRDefault="00B57960">
      <w:pPr>
        <w:pStyle w:val="Ttulo4"/>
        <w:keepNext w:val="0"/>
        <w:widowControl w:val="0"/>
        <w:spacing w:line="360" w:lineRule="auto"/>
        <w:ind w:hanging="864"/>
      </w:pPr>
      <w:r>
        <w:t>Canonical Ubuntu Server LTS 20.04;</w:t>
      </w:r>
    </w:p>
    <w:p w14:paraId="2AEE32F2" w14:textId="77777777" w:rsidR="00DA005F" w:rsidRDefault="00B57960">
      <w:pPr>
        <w:pStyle w:val="Ttulo4"/>
        <w:keepNext w:val="0"/>
        <w:widowControl w:val="0"/>
        <w:spacing w:line="360" w:lineRule="auto"/>
        <w:ind w:hanging="864"/>
      </w:pPr>
      <w:r>
        <w:t>Microsoft Windows Server 2019;</w:t>
      </w:r>
    </w:p>
    <w:p w14:paraId="2AEE32F3" w14:textId="77777777" w:rsidR="00DA005F" w:rsidRDefault="00B57960">
      <w:pPr>
        <w:pStyle w:val="Ttulo4"/>
        <w:keepNext w:val="0"/>
        <w:widowControl w:val="0"/>
        <w:spacing w:line="360" w:lineRule="auto"/>
        <w:ind w:hanging="864"/>
      </w:pPr>
      <w:r>
        <w:t>Red Hat Linux Enterprise 8;</w:t>
      </w:r>
    </w:p>
    <w:p w14:paraId="2AEE32F4" w14:textId="77777777" w:rsidR="00DA005F" w:rsidRDefault="00B57960">
      <w:pPr>
        <w:pStyle w:val="Ttulo3"/>
        <w:keepNext w:val="0"/>
        <w:widowControl w:val="0"/>
        <w:spacing w:line="360" w:lineRule="auto"/>
      </w:pPr>
      <w:r>
        <w:t>Fonte de alimentação de energia com voltagem automática 100-240V (de cem a duzentos e quarenta volts) e potência compatível com o hardware especificado;</w:t>
      </w:r>
    </w:p>
    <w:p w14:paraId="2AEE32F5" w14:textId="77777777" w:rsidR="00DA005F" w:rsidRDefault="00B57960">
      <w:pPr>
        <w:pStyle w:val="Ttulo3"/>
        <w:keepNext w:val="0"/>
        <w:widowControl w:val="0"/>
        <w:spacing w:line="360" w:lineRule="auto"/>
      </w:pPr>
      <w:r>
        <w:lastRenderedPageBreak/>
        <w:t>Cabo de energia padrão NBR 14136 com comprimento mínimo de 1,5 m (um metro de meio) e compatível com a fonte de alimentação;</w:t>
      </w:r>
    </w:p>
    <w:p w14:paraId="2AEE32F6" w14:textId="77777777" w:rsidR="00DA005F" w:rsidRDefault="00B57960">
      <w:pPr>
        <w:pStyle w:val="Ttulo3"/>
        <w:keepNext w:val="0"/>
        <w:widowControl w:val="0"/>
        <w:spacing w:line="360" w:lineRule="auto"/>
      </w:pPr>
      <w:r>
        <w:t>Possuir painel frontal com chave para proteção de acesso às unidades de armazenamento hot swap do servidor;</w:t>
      </w:r>
    </w:p>
    <w:p w14:paraId="2AEE32F7" w14:textId="77777777" w:rsidR="00DA005F" w:rsidRDefault="00B57960">
      <w:pPr>
        <w:pStyle w:val="Ttulo3"/>
        <w:keepNext w:val="0"/>
        <w:widowControl w:val="0"/>
        <w:spacing w:line="360" w:lineRule="auto"/>
      </w:pPr>
      <w:r>
        <w:t>Garantia do fabricante no local (on site) por período mínimo de 5 (cinco) anos e suporte 8x5 (oito horas por dia; cinco dias por semana; em horário comercial);</w:t>
      </w:r>
    </w:p>
    <w:p w14:paraId="2AEE32F8" w14:textId="77777777" w:rsidR="00DA005F" w:rsidRDefault="00B57960">
      <w:pPr>
        <w:pStyle w:val="Ttulo3"/>
        <w:keepNext w:val="0"/>
        <w:widowControl w:val="0"/>
        <w:spacing w:line="360" w:lineRule="auto"/>
      </w:pPr>
      <w:r>
        <w:t>Todos os componentes do servidor devem ser integrados pelo mesmo fabricante, que deve prestar a garantia do equipamento de forma integral;</w:t>
      </w:r>
    </w:p>
    <w:p w14:paraId="2AEE32F9" w14:textId="77777777" w:rsidR="00DA005F" w:rsidRDefault="00B57960">
      <w:pPr>
        <w:pStyle w:val="Ttulo2"/>
        <w:keepNext w:val="0"/>
        <w:widowControl w:val="0"/>
      </w:pPr>
      <w:r>
        <w:rPr>
          <w:b/>
          <w:bCs/>
        </w:rPr>
        <w:t>TAPE LIBRARY</w:t>
      </w:r>
      <w:r>
        <w:t>: Equipamento para leitura e gravação de dados em mídia magnética, com robô para autocarregamento dos cartuchos, conforme especificações que seguem:</w:t>
      </w:r>
    </w:p>
    <w:p w14:paraId="2AEE32FA" w14:textId="77777777" w:rsidR="00DA005F" w:rsidRDefault="00B57960">
      <w:pPr>
        <w:pStyle w:val="Ttulo3"/>
        <w:keepNext w:val="0"/>
        <w:widowControl w:val="0"/>
        <w:spacing w:line="360" w:lineRule="auto"/>
      </w:pPr>
      <w:r>
        <w:t>No mínimo 8 (oito) slots para acomodação de cartuchos;</w:t>
      </w:r>
    </w:p>
    <w:p w14:paraId="2AEE32FB" w14:textId="77777777" w:rsidR="00DA005F" w:rsidRDefault="00B57960">
      <w:pPr>
        <w:pStyle w:val="Ttulo3"/>
        <w:keepNext w:val="0"/>
        <w:widowControl w:val="0"/>
        <w:spacing w:line="360" w:lineRule="auto"/>
      </w:pPr>
      <w:r>
        <w:t>No mínimo 1 (um) slot de entrada de saída (I/O Station);</w:t>
      </w:r>
    </w:p>
    <w:p w14:paraId="2AEE32FC" w14:textId="77777777" w:rsidR="00DA005F" w:rsidRDefault="00B57960">
      <w:pPr>
        <w:pStyle w:val="Ttulo3"/>
        <w:keepNext w:val="0"/>
        <w:widowControl w:val="0"/>
        <w:spacing w:line="360" w:lineRule="auto"/>
      </w:pPr>
      <w:r>
        <w:t>No mínimo 1 (uma) unidade (drive) de leitura e gravação LTO 8 com interface SAS 6 Gb/s (seis gigabits por segundo);</w:t>
      </w:r>
    </w:p>
    <w:p w14:paraId="2AEE32FD" w14:textId="77777777" w:rsidR="00DA005F" w:rsidRDefault="00B57960">
      <w:pPr>
        <w:pStyle w:val="Ttulo3"/>
        <w:keepNext w:val="0"/>
        <w:widowControl w:val="0"/>
        <w:spacing w:line="360" w:lineRule="auto"/>
      </w:pPr>
      <w:r>
        <w:t>Robô interno com reconhecimento de código de barras;</w:t>
      </w:r>
    </w:p>
    <w:p w14:paraId="2AEE32FE" w14:textId="77777777" w:rsidR="00DA005F" w:rsidRDefault="00B57960">
      <w:pPr>
        <w:pStyle w:val="Ttulo3"/>
        <w:keepNext w:val="0"/>
        <w:widowControl w:val="0"/>
        <w:spacing w:line="360" w:lineRule="auto"/>
      </w:pPr>
      <w:r>
        <w:t>Interface de gerenciamento LCD frontal;</w:t>
      </w:r>
    </w:p>
    <w:p w14:paraId="2AEE32FF" w14:textId="77777777" w:rsidR="00DA005F" w:rsidRDefault="00B57960">
      <w:pPr>
        <w:pStyle w:val="Ttulo3"/>
        <w:keepNext w:val="0"/>
        <w:widowControl w:val="0"/>
        <w:spacing w:line="360" w:lineRule="auto"/>
      </w:pPr>
      <w:r>
        <w:t>Interface de gerenciamento WEB compatível com os navegadores padrão de mercado (Microsoft Edge, Mozilla Firefox, Google Chrome, etc.);</w:t>
      </w:r>
    </w:p>
    <w:p w14:paraId="2AEE3300" w14:textId="77777777" w:rsidR="00DA005F" w:rsidRDefault="00B57960">
      <w:pPr>
        <w:pStyle w:val="Ttulo3"/>
        <w:keepNext w:val="0"/>
        <w:widowControl w:val="0"/>
        <w:spacing w:line="360" w:lineRule="auto"/>
      </w:pPr>
      <w:r>
        <w:t>Placa de rede Gigabit Ethernet 100BASE-T ou superior para acesso à interface de gerenciamento WEB;</w:t>
      </w:r>
    </w:p>
    <w:p w14:paraId="2AEE3301" w14:textId="77777777" w:rsidR="00DA005F" w:rsidRDefault="00B57960">
      <w:pPr>
        <w:pStyle w:val="Ttulo3"/>
        <w:keepNext w:val="0"/>
        <w:widowControl w:val="0"/>
        <w:spacing w:line="360" w:lineRule="auto"/>
      </w:pPr>
      <w:r>
        <w:t>Deve acompanhar no mínimo 1 (um) cartucho de limpeza padrão LTO;</w:t>
      </w:r>
    </w:p>
    <w:p w14:paraId="2AEE3302" w14:textId="77777777" w:rsidR="00DA005F" w:rsidRDefault="00B57960">
      <w:pPr>
        <w:pStyle w:val="Ttulo3"/>
        <w:keepNext w:val="0"/>
        <w:widowControl w:val="0"/>
        <w:spacing w:line="360" w:lineRule="auto"/>
      </w:pPr>
      <w:r>
        <w:t>Função de limpeza automática;</w:t>
      </w:r>
    </w:p>
    <w:p w14:paraId="2AEE3303" w14:textId="77777777" w:rsidR="00DA005F" w:rsidRDefault="00B57960">
      <w:pPr>
        <w:pStyle w:val="Ttulo3"/>
        <w:keepNext w:val="0"/>
        <w:widowControl w:val="0"/>
        <w:spacing w:line="360" w:lineRule="auto"/>
      </w:pPr>
      <w:r>
        <w:t>Deve acompanhar no mínimo 20 (vinte) etiquetas com código de barras em numeração sequencial padrão LTO 8 (L8);</w:t>
      </w:r>
    </w:p>
    <w:p w14:paraId="2AEE3304" w14:textId="77777777" w:rsidR="00DA005F" w:rsidRDefault="00B57960">
      <w:pPr>
        <w:pStyle w:val="Ttulo3"/>
        <w:keepNext w:val="0"/>
        <w:widowControl w:val="0"/>
        <w:spacing w:line="360" w:lineRule="auto"/>
      </w:pPr>
      <w:r>
        <w:t>Fonte de alimentação de energia com voltagem automática 100-240V (de cem a duzentos e quarenta volts);</w:t>
      </w:r>
    </w:p>
    <w:p w14:paraId="2AEE3305" w14:textId="77777777" w:rsidR="00DA005F" w:rsidRDefault="00B57960">
      <w:pPr>
        <w:pStyle w:val="Ttulo3"/>
        <w:keepNext w:val="0"/>
        <w:widowControl w:val="0"/>
        <w:spacing w:line="360" w:lineRule="auto"/>
      </w:pPr>
      <w:r>
        <w:lastRenderedPageBreak/>
        <w:t>Cabo de energia padrão NBR 14136 com comprimento mínimo de 1,5 m (um metro de meio) e compatível com a fonte de alimentação;</w:t>
      </w:r>
    </w:p>
    <w:p w14:paraId="2AEE3306" w14:textId="77777777" w:rsidR="00DA005F" w:rsidRDefault="00B57960">
      <w:pPr>
        <w:pStyle w:val="Ttulo3"/>
        <w:keepNext w:val="0"/>
        <w:widowControl w:val="0"/>
        <w:spacing w:line="360" w:lineRule="auto"/>
      </w:pPr>
      <w:r>
        <w:t>Garantia do fabricante no local (on site) por período mínimo de 5 (cinco) anos e suporte 8x5 (oito horas por dia; cinco dias por semana; em horário comercial);</w:t>
      </w:r>
    </w:p>
    <w:p w14:paraId="2AEE3307" w14:textId="77777777" w:rsidR="00DA005F" w:rsidRDefault="00B57960">
      <w:pPr>
        <w:pStyle w:val="Ttulo2"/>
        <w:keepNext w:val="0"/>
        <w:widowControl w:val="0"/>
      </w:pPr>
      <w:r>
        <w:rPr>
          <w:b/>
          <w:bCs/>
        </w:rPr>
        <w:t>MÍDIA MAGNÉTICA</w:t>
      </w:r>
      <w:r>
        <w:t>: Cartucho de fita LTO para armazenamento de dados:</w:t>
      </w:r>
    </w:p>
    <w:p w14:paraId="2AEE3308" w14:textId="77777777" w:rsidR="00DA005F" w:rsidRDefault="00B57960">
      <w:pPr>
        <w:pStyle w:val="Ttulo3"/>
        <w:keepNext w:val="0"/>
        <w:widowControl w:val="0"/>
        <w:spacing w:line="360" w:lineRule="auto"/>
      </w:pPr>
      <w:r>
        <w:t>Tecnologia LTO 8;</w:t>
      </w:r>
    </w:p>
    <w:p w14:paraId="2AEE3309" w14:textId="77777777" w:rsidR="00DA005F" w:rsidRDefault="00B57960">
      <w:pPr>
        <w:pStyle w:val="Ttulo3"/>
        <w:keepNext w:val="0"/>
        <w:widowControl w:val="0"/>
        <w:spacing w:line="360" w:lineRule="auto"/>
      </w:pPr>
      <w:r>
        <w:t>Capacidade de armazenamento nativa de 12 TB (doze terabytes);</w:t>
      </w:r>
    </w:p>
    <w:p w14:paraId="2AEE330A" w14:textId="77777777" w:rsidR="00DA005F" w:rsidRDefault="00B57960">
      <w:pPr>
        <w:pStyle w:val="Ttulo2"/>
        <w:keepNext w:val="0"/>
        <w:widowControl w:val="0"/>
      </w:pPr>
      <w:r>
        <w:rPr>
          <w:b/>
          <w:bCs/>
        </w:rPr>
        <w:t>NOBREAK</w:t>
      </w:r>
      <w:r>
        <w:t>: Equipamento GERENCIÁVEL para fornecimento ininterrupto de energia elétrica estabilizada, conforme especificações que seguem:</w:t>
      </w:r>
    </w:p>
    <w:p w14:paraId="2AEE330B" w14:textId="77777777" w:rsidR="00DA005F" w:rsidRDefault="00B57960">
      <w:pPr>
        <w:pStyle w:val="Ttulo3"/>
        <w:keepNext w:val="0"/>
        <w:widowControl w:val="0"/>
        <w:spacing w:line="360" w:lineRule="auto"/>
      </w:pPr>
      <w:r>
        <w:t>Gabinete em formato torre;</w:t>
      </w:r>
    </w:p>
    <w:p w14:paraId="2AEE330C" w14:textId="77777777" w:rsidR="00DA005F" w:rsidRDefault="00B57960">
      <w:pPr>
        <w:pStyle w:val="Ttulo3"/>
        <w:keepNext w:val="0"/>
        <w:widowControl w:val="0"/>
        <w:spacing w:line="360" w:lineRule="auto"/>
      </w:pPr>
      <w:r>
        <w:t>Forma de onda: SENOIDAL PURA;</w:t>
      </w:r>
    </w:p>
    <w:p w14:paraId="2AEE330D" w14:textId="77777777" w:rsidR="00DA005F" w:rsidRDefault="00B57960">
      <w:pPr>
        <w:pStyle w:val="Ttulo3"/>
        <w:keepNext w:val="0"/>
        <w:widowControl w:val="0"/>
        <w:spacing w:line="360" w:lineRule="auto"/>
      </w:pPr>
      <w:r>
        <w:t>Potência mínima: 2200VA / 2200W (dois mil e duzentos volt-ampere / dois mil e duzentos watts) com fator de potência “1”;</w:t>
      </w:r>
    </w:p>
    <w:p w14:paraId="2AEE330E" w14:textId="77777777" w:rsidR="00DA005F" w:rsidRDefault="00B57960">
      <w:pPr>
        <w:pStyle w:val="Ttulo3"/>
        <w:keepNext w:val="0"/>
        <w:widowControl w:val="0"/>
        <w:spacing w:line="360" w:lineRule="auto"/>
      </w:pPr>
      <w:r>
        <w:t>Estabilizador interno;</w:t>
      </w:r>
    </w:p>
    <w:p w14:paraId="2AEE330F" w14:textId="77777777" w:rsidR="00DA005F" w:rsidRDefault="00B57960">
      <w:pPr>
        <w:pStyle w:val="Ttulo3"/>
        <w:keepNext w:val="0"/>
        <w:widowControl w:val="0"/>
        <w:spacing w:line="360" w:lineRule="auto"/>
      </w:pPr>
      <w:r>
        <w:t>Tensão de entrada bivolt automático 110/127/220V~ (cento e dez / cento e vinte e sete / duzentos e vinte volts em corrente alternada);</w:t>
      </w:r>
    </w:p>
    <w:p w14:paraId="2AEE3310" w14:textId="77777777" w:rsidR="00DA005F" w:rsidRDefault="00B57960">
      <w:pPr>
        <w:pStyle w:val="Ttulo3"/>
        <w:keepNext w:val="0"/>
        <w:widowControl w:val="0"/>
        <w:spacing w:line="360" w:lineRule="auto"/>
      </w:pPr>
      <w:r>
        <w:t>Tensão de saída 115V~ (cento e quinze volts em corrente alternada);</w:t>
      </w:r>
    </w:p>
    <w:p w14:paraId="2AEE3311" w14:textId="77777777" w:rsidR="00DA005F" w:rsidRDefault="00B57960">
      <w:pPr>
        <w:pStyle w:val="Ttulo3"/>
        <w:keepNext w:val="0"/>
        <w:widowControl w:val="0"/>
        <w:spacing w:line="360" w:lineRule="auto"/>
      </w:pPr>
      <w:r>
        <w:t>Conexão de entrada tipo borne e conexão de entrada tipo plugue padrão NBR 14136. Deve acompanhar o cabo de energia com comprimento mínimo de 1,5 m (um metro e meio);</w:t>
      </w:r>
    </w:p>
    <w:p w14:paraId="2AEE3312" w14:textId="77777777" w:rsidR="00DA005F" w:rsidRDefault="00B57960">
      <w:pPr>
        <w:pStyle w:val="Ttulo3"/>
        <w:keepNext w:val="0"/>
        <w:widowControl w:val="0"/>
        <w:spacing w:line="360" w:lineRule="auto"/>
      </w:pPr>
      <w:r>
        <w:t>Conexão de saída tipo borne e no mínimo 4 (quatro) tomadas de saída padrão NBR 14136;</w:t>
      </w:r>
    </w:p>
    <w:p w14:paraId="2AEE3313" w14:textId="77777777" w:rsidR="00DA005F" w:rsidRDefault="00B57960">
      <w:pPr>
        <w:pStyle w:val="Ttulo3"/>
        <w:keepNext w:val="0"/>
        <w:widowControl w:val="0"/>
        <w:spacing w:line="360" w:lineRule="auto"/>
      </w:pPr>
      <w:r>
        <w:t>Conexão para banco de baterias externo;</w:t>
      </w:r>
    </w:p>
    <w:p w14:paraId="2AEE3314" w14:textId="77777777" w:rsidR="00DA005F" w:rsidRDefault="00B57960">
      <w:pPr>
        <w:pStyle w:val="Ttulo3"/>
        <w:keepNext w:val="0"/>
        <w:widowControl w:val="0"/>
        <w:spacing w:line="360" w:lineRule="auto"/>
      </w:pPr>
      <w:r>
        <w:t>Autonomia mínima de 20 (vinte) minutos com 50% (cinquenta por cento) de carga. É permitido o fornecimento de módulo externo de bateria para alcançar a autonomia solicitada, desde que o módulo seja da mesma marca do nobreak fornecido;</w:t>
      </w:r>
    </w:p>
    <w:p w14:paraId="2AEE3315" w14:textId="77777777" w:rsidR="00DA005F" w:rsidRDefault="00B57960">
      <w:pPr>
        <w:pStyle w:val="Ttulo3"/>
        <w:keepNext w:val="0"/>
        <w:widowControl w:val="0"/>
        <w:spacing w:line="360" w:lineRule="auto"/>
      </w:pPr>
      <w:r>
        <w:t>Painel frontal com indicadores de potência, carga de bateria e alerta de falha;</w:t>
      </w:r>
    </w:p>
    <w:p w14:paraId="2AEE3316" w14:textId="77777777" w:rsidR="00DA005F" w:rsidRDefault="00B57960">
      <w:pPr>
        <w:pStyle w:val="Ttulo3"/>
        <w:keepNext w:val="0"/>
        <w:widowControl w:val="0"/>
        <w:spacing w:line="360" w:lineRule="auto"/>
      </w:pPr>
      <w:r>
        <w:lastRenderedPageBreak/>
        <w:t>Porta USB para conexão de gerenciamento. Deve acompanhar o cabo USB com comprimento mínimo de 1,5 m (um metro e meio);</w:t>
      </w:r>
    </w:p>
    <w:p w14:paraId="2AEE3317" w14:textId="77777777" w:rsidR="00DA005F" w:rsidRDefault="00B57960">
      <w:pPr>
        <w:pStyle w:val="Ttulo3"/>
        <w:keepNext w:val="0"/>
        <w:widowControl w:val="0"/>
        <w:spacing w:line="360" w:lineRule="auto"/>
      </w:pPr>
      <w:r>
        <w:t>Software de gerenciamento:</w:t>
      </w:r>
    </w:p>
    <w:p w14:paraId="2AEE3318" w14:textId="77777777" w:rsidR="00DA005F" w:rsidRDefault="00B57960">
      <w:pPr>
        <w:pStyle w:val="Ttulo4"/>
        <w:keepNext w:val="0"/>
        <w:widowControl w:val="0"/>
        <w:spacing w:line="360" w:lineRule="auto"/>
        <w:ind w:hanging="864"/>
      </w:pPr>
      <w:r>
        <w:t>Deve ser fornecido junto com o nobreak, sem necessidade de licenciamento adicional;</w:t>
      </w:r>
    </w:p>
    <w:p w14:paraId="2AEE3319" w14:textId="77777777" w:rsidR="00DA005F" w:rsidRDefault="00B57960">
      <w:pPr>
        <w:pStyle w:val="Ttulo4"/>
        <w:keepNext w:val="0"/>
        <w:widowControl w:val="0"/>
        <w:spacing w:line="360" w:lineRule="auto"/>
        <w:ind w:hanging="864"/>
      </w:pPr>
      <w:r>
        <w:t>Compatível com sistemas operacionais Linux e Microsoft Windows Server;</w:t>
      </w:r>
    </w:p>
    <w:p w14:paraId="2AEE331A" w14:textId="77777777" w:rsidR="00DA005F" w:rsidRDefault="00B57960">
      <w:pPr>
        <w:pStyle w:val="Ttulo4"/>
        <w:keepNext w:val="0"/>
        <w:widowControl w:val="0"/>
        <w:spacing w:line="360" w:lineRule="auto"/>
        <w:ind w:hanging="864"/>
      </w:pPr>
      <w:r>
        <w:t>Interface de gerenciamento WEB compatível com os navegadores padrão de mercado (Microsoft Edge, Mozilla Firefox, Google Chrome, etc.);</w:t>
      </w:r>
    </w:p>
    <w:p w14:paraId="2AEE331B" w14:textId="77777777" w:rsidR="00DA005F" w:rsidRDefault="00B57960">
      <w:pPr>
        <w:pStyle w:val="Ttulo4"/>
        <w:keepNext w:val="0"/>
        <w:widowControl w:val="0"/>
        <w:spacing w:line="360" w:lineRule="auto"/>
        <w:ind w:hanging="864"/>
      </w:pPr>
      <w:r>
        <w:t>Funções de monitoramento e configuração de desligamento (shutdown) programado;</w:t>
      </w:r>
    </w:p>
    <w:p w14:paraId="2AEE331C" w14:textId="77777777" w:rsidR="00DA005F" w:rsidRDefault="00B57960">
      <w:pPr>
        <w:pStyle w:val="Ttulo4"/>
        <w:keepNext w:val="0"/>
        <w:widowControl w:val="0"/>
        <w:spacing w:line="360" w:lineRule="auto"/>
        <w:ind w:hanging="864"/>
      </w:pPr>
      <w:r>
        <w:t>Envio de alertas por E-mail;</w:t>
      </w:r>
    </w:p>
    <w:p w14:paraId="2AEE331D" w14:textId="77777777" w:rsidR="00DA005F" w:rsidRDefault="00B57960">
      <w:pPr>
        <w:pStyle w:val="Ttulo4"/>
        <w:keepNext w:val="0"/>
        <w:widowControl w:val="0"/>
        <w:spacing w:line="360" w:lineRule="auto"/>
        <w:ind w:hanging="864"/>
      </w:pPr>
      <w:r>
        <w:t>Controle de acesso via login e senha;</w:t>
      </w:r>
    </w:p>
    <w:p w14:paraId="2AEE331E" w14:textId="77777777" w:rsidR="00DA005F" w:rsidRDefault="00B57960">
      <w:pPr>
        <w:pStyle w:val="Ttulo3"/>
        <w:keepNext w:val="0"/>
        <w:widowControl w:val="0"/>
        <w:spacing w:line="360" w:lineRule="auto"/>
      </w:pPr>
      <w:r>
        <w:t>Garantia do fabricante por período mínimo de 1 (um) ano.</w:t>
      </w:r>
    </w:p>
    <w:p w14:paraId="2AEE331F" w14:textId="251DAE16" w:rsidR="00DA005F" w:rsidRDefault="00B57960">
      <w:pPr>
        <w:pStyle w:val="Ttulo1"/>
        <w:keepNext w:val="0"/>
        <w:keepLines w:val="0"/>
        <w:widowControl w:val="0"/>
      </w:pPr>
      <w:r>
        <w:t xml:space="preserve">CRITÉRIOS DE ACEITABILIDADE </w:t>
      </w:r>
    </w:p>
    <w:p w14:paraId="431C270B" w14:textId="77777777" w:rsidR="00894729" w:rsidRPr="00894729" w:rsidRDefault="00B57960" w:rsidP="00894729">
      <w:pPr>
        <w:pStyle w:val="Ttulo2"/>
        <w:keepNext w:val="0"/>
        <w:widowControl w:val="0"/>
        <w:ind w:left="431" w:hanging="431"/>
      </w:pPr>
      <w:r>
        <w:rPr>
          <w:color w:val="000000"/>
        </w:rPr>
        <w:t>A LICITANTE deve apresentar documento informando o endereço do site do fabricante onde é possível pesquisar informações dos equipamentos que compõem o lote 1 deste termo a partir do código (número de série, etiqueta de serviço, etc.) do equipamento, sem necessidade de login/senha ou cadastro prévio. No site deve ser possível verificar as especificações de cada equipamento, seus componentes e tempo de garantia;</w:t>
      </w:r>
    </w:p>
    <w:p w14:paraId="15019CCE" w14:textId="25BB222D" w:rsidR="00894729" w:rsidRPr="00894729" w:rsidRDefault="00894729" w:rsidP="00894729">
      <w:pPr>
        <w:pStyle w:val="Ttulo2"/>
        <w:keepNext w:val="0"/>
        <w:widowControl w:val="0"/>
        <w:ind w:left="431" w:hanging="431"/>
      </w:pPr>
      <w:r w:rsidRPr="00894729">
        <w:t xml:space="preserve"> Declaração de que a licitante possui para os componentes do item 1 do lote 1</w:t>
      </w:r>
      <w:r>
        <w:t xml:space="preserve"> deste termo: gabinete/chassi, </w:t>
      </w:r>
      <w:r w:rsidRPr="00894729">
        <w:t>processador, módulos  de  memória  RAM,  controladora  de  discos,  unidades  de  armazenamento  (HDs  e SSDs), placa/interfaces de rede, fonte de energia, módulo de gerenciamento Out-Of-Band e serviço de garantia códigos de SKU ou Part Number.</w:t>
      </w:r>
      <w:bookmarkStart w:id="0" w:name="_GoBack"/>
      <w:bookmarkEnd w:id="0"/>
    </w:p>
    <w:p w14:paraId="2AEE3323" w14:textId="0BDF6A67" w:rsidR="00DA005F" w:rsidRDefault="00B57960" w:rsidP="00894729">
      <w:pPr>
        <w:pStyle w:val="Ttulo1"/>
      </w:pPr>
      <w:r>
        <w:lastRenderedPageBreak/>
        <w:t>VALORES DE REFERÊNCIA</w:t>
      </w:r>
    </w:p>
    <w:p w14:paraId="2AEE3324" w14:textId="77777777" w:rsidR="00DA005F" w:rsidRDefault="00B57960">
      <w:pPr>
        <w:pStyle w:val="Ttulo2"/>
        <w:keepNext w:val="0"/>
        <w:widowControl w:val="0"/>
      </w:pPr>
      <w:r>
        <w:t>Os valores do presente processo licitatório são compostos conforme as especificações técnicas elencadas neste Termo de Referência e demais determinações do referido edital e seus anexos, conforme a tabela abaixo demonstrativa de valores médios, de acordo com a pesquisa de mercado realizada:</w:t>
      </w:r>
    </w:p>
    <w:tbl>
      <w:tblPr>
        <w:tblW w:w="9214" w:type="dxa"/>
        <w:tblInd w:w="28" w:type="dxa"/>
        <w:tblLayout w:type="fixed"/>
        <w:tblCellMar>
          <w:top w:w="28" w:type="dxa"/>
          <w:left w:w="28" w:type="dxa"/>
          <w:bottom w:w="28" w:type="dxa"/>
          <w:right w:w="28" w:type="dxa"/>
        </w:tblCellMar>
        <w:tblLook w:val="04A0" w:firstRow="1" w:lastRow="0" w:firstColumn="1" w:lastColumn="0" w:noHBand="0" w:noVBand="1"/>
      </w:tblPr>
      <w:tblGrid>
        <w:gridCol w:w="845"/>
        <w:gridCol w:w="855"/>
        <w:gridCol w:w="2102"/>
        <w:gridCol w:w="1471"/>
        <w:gridCol w:w="1925"/>
        <w:gridCol w:w="2016"/>
      </w:tblGrid>
      <w:tr w:rsidR="00DA005F" w14:paraId="2AEE332B" w14:textId="77777777">
        <w:tc>
          <w:tcPr>
            <w:tcW w:w="844" w:type="dxa"/>
            <w:tcBorders>
              <w:top w:val="single" w:sz="2" w:space="0" w:color="000000"/>
              <w:left w:val="single" w:sz="2" w:space="0" w:color="000000"/>
              <w:bottom w:val="single" w:sz="2" w:space="0" w:color="000000"/>
            </w:tcBorders>
            <w:shd w:val="clear" w:color="auto" w:fill="CCCCCC"/>
            <w:vAlign w:val="center"/>
          </w:tcPr>
          <w:p w14:paraId="2AEE3325" w14:textId="77777777" w:rsidR="00DA005F" w:rsidRDefault="00B57960">
            <w:pPr>
              <w:pStyle w:val="TableContents"/>
              <w:keepNext w:val="0"/>
              <w:keepLines w:val="0"/>
              <w:widowControl w:val="0"/>
              <w:spacing w:after="0"/>
              <w:jc w:val="center"/>
              <w:rPr>
                <w:b/>
                <w:bCs/>
                <w:sz w:val="22"/>
              </w:rPr>
            </w:pPr>
            <w:r>
              <w:rPr>
                <w:b/>
                <w:bCs/>
                <w:sz w:val="22"/>
              </w:rPr>
              <w:t>Lote</w:t>
            </w:r>
          </w:p>
        </w:tc>
        <w:tc>
          <w:tcPr>
            <w:tcW w:w="855" w:type="dxa"/>
            <w:tcBorders>
              <w:top w:val="single" w:sz="2" w:space="0" w:color="000000"/>
              <w:left w:val="single" w:sz="2" w:space="0" w:color="000000"/>
              <w:bottom w:val="single" w:sz="2" w:space="0" w:color="000000"/>
            </w:tcBorders>
            <w:shd w:val="clear" w:color="auto" w:fill="CCCCCC"/>
            <w:vAlign w:val="center"/>
          </w:tcPr>
          <w:p w14:paraId="2AEE3326" w14:textId="77777777" w:rsidR="00DA005F" w:rsidRDefault="00B57960">
            <w:pPr>
              <w:pStyle w:val="TableContents"/>
              <w:keepNext w:val="0"/>
              <w:keepLines w:val="0"/>
              <w:widowControl w:val="0"/>
              <w:spacing w:after="0"/>
              <w:jc w:val="center"/>
              <w:rPr>
                <w:b/>
                <w:bCs/>
                <w:sz w:val="22"/>
              </w:rPr>
            </w:pPr>
            <w:r>
              <w:rPr>
                <w:b/>
                <w:bCs/>
                <w:sz w:val="22"/>
              </w:rPr>
              <w:t>Item</w:t>
            </w:r>
          </w:p>
        </w:tc>
        <w:tc>
          <w:tcPr>
            <w:tcW w:w="2102" w:type="dxa"/>
            <w:tcBorders>
              <w:top w:val="single" w:sz="2" w:space="0" w:color="000000"/>
              <w:left w:val="single" w:sz="2" w:space="0" w:color="000000"/>
              <w:bottom w:val="single" w:sz="2" w:space="0" w:color="000000"/>
            </w:tcBorders>
            <w:shd w:val="clear" w:color="auto" w:fill="CCCCCC"/>
            <w:vAlign w:val="center"/>
          </w:tcPr>
          <w:p w14:paraId="2AEE3327" w14:textId="77777777" w:rsidR="00DA005F" w:rsidRDefault="00B57960">
            <w:pPr>
              <w:pStyle w:val="TableContents"/>
              <w:keepNext w:val="0"/>
              <w:keepLines w:val="0"/>
              <w:widowControl w:val="0"/>
              <w:spacing w:after="0"/>
              <w:jc w:val="center"/>
              <w:rPr>
                <w:b/>
                <w:bCs/>
                <w:sz w:val="22"/>
              </w:rPr>
            </w:pPr>
            <w:r>
              <w:rPr>
                <w:b/>
                <w:bCs/>
                <w:sz w:val="22"/>
              </w:rPr>
              <w:t>Descrição</w:t>
            </w:r>
          </w:p>
        </w:tc>
        <w:tc>
          <w:tcPr>
            <w:tcW w:w="1471" w:type="dxa"/>
            <w:tcBorders>
              <w:top w:val="single" w:sz="2" w:space="0" w:color="000000"/>
              <w:left w:val="single" w:sz="2" w:space="0" w:color="000000"/>
              <w:bottom w:val="single" w:sz="2" w:space="0" w:color="000000"/>
            </w:tcBorders>
            <w:shd w:val="clear" w:color="auto" w:fill="CCCCCC"/>
            <w:vAlign w:val="center"/>
          </w:tcPr>
          <w:p w14:paraId="2AEE3328" w14:textId="77777777" w:rsidR="00DA005F" w:rsidRDefault="00B57960">
            <w:pPr>
              <w:pStyle w:val="TableContents"/>
              <w:keepNext w:val="0"/>
              <w:keepLines w:val="0"/>
              <w:widowControl w:val="0"/>
              <w:spacing w:after="0"/>
              <w:jc w:val="center"/>
              <w:rPr>
                <w:b/>
                <w:bCs/>
                <w:sz w:val="22"/>
              </w:rPr>
            </w:pPr>
            <w:r>
              <w:rPr>
                <w:b/>
                <w:bCs/>
                <w:sz w:val="22"/>
              </w:rPr>
              <w:t>Quantidade</w:t>
            </w:r>
          </w:p>
        </w:tc>
        <w:tc>
          <w:tcPr>
            <w:tcW w:w="1925" w:type="dxa"/>
            <w:tcBorders>
              <w:top w:val="single" w:sz="2" w:space="0" w:color="000000"/>
              <w:left w:val="single" w:sz="2" w:space="0" w:color="000000"/>
              <w:bottom w:val="single" w:sz="2" w:space="0" w:color="000000"/>
            </w:tcBorders>
            <w:shd w:val="clear" w:color="auto" w:fill="CCCCCC"/>
            <w:vAlign w:val="center"/>
          </w:tcPr>
          <w:p w14:paraId="2AEE3329" w14:textId="77777777" w:rsidR="00DA005F" w:rsidRDefault="00B57960">
            <w:pPr>
              <w:pStyle w:val="TableContents"/>
              <w:keepNext w:val="0"/>
              <w:keepLines w:val="0"/>
              <w:widowControl w:val="0"/>
              <w:spacing w:after="0"/>
              <w:jc w:val="center"/>
              <w:rPr>
                <w:b/>
                <w:bCs/>
                <w:sz w:val="22"/>
              </w:rPr>
            </w:pPr>
            <w:r>
              <w:rPr>
                <w:b/>
                <w:bCs/>
                <w:sz w:val="22"/>
              </w:rPr>
              <w:t>Valor Unitário</w:t>
            </w:r>
          </w:p>
        </w:tc>
        <w:tc>
          <w:tcPr>
            <w:tcW w:w="2016" w:type="dxa"/>
            <w:tcBorders>
              <w:top w:val="single" w:sz="2" w:space="0" w:color="000000"/>
              <w:left w:val="single" w:sz="2" w:space="0" w:color="000000"/>
              <w:bottom w:val="single" w:sz="2" w:space="0" w:color="000000"/>
              <w:right w:val="single" w:sz="2" w:space="0" w:color="000000"/>
            </w:tcBorders>
            <w:shd w:val="clear" w:color="auto" w:fill="CCCCCC"/>
            <w:vAlign w:val="center"/>
          </w:tcPr>
          <w:p w14:paraId="2AEE332A" w14:textId="77777777" w:rsidR="00DA005F" w:rsidRDefault="00B57960">
            <w:pPr>
              <w:pStyle w:val="TableContents"/>
              <w:keepNext w:val="0"/>
              <w:keepLines w:val="0"/>
              <w:widowControl w:val="0"/>
              <w:spacing w:after="0"/>
              <w:jc w:val="center"/>
              <w:rPr>
                <w:b/>
                <w:bCs/>
                <w:sz w:val="22"/>
              </w:rPr>
            </w:pPr>
            <w:r>
              <w:rPr>
                <w:b/>
                <w:bCs/>
                <w:sz w:val="22"/>
              </w:rPr>
              <w:t xml:space="preserve">Valor Total </w:t>
            </w:r>
          </w:p>
        </w:tc>
      </w:tr>
      <w:tr w:rsidR="00DA005F" w14:paraId="2AEE3332" w14:textId="77777777">
        <w:tc>
          <w:tcPr>
            <w:tcW w:w="844" w:type="dxa"/>
            <w:vMerge w:val="restart"/>
            <w:tcBorders>
              <w:left w:val="single" w:sz="2" w:space="0" w:color="000000"/>
              <w:bottom w:val="single" w:sz="2" w:space="0" w:color="000000"/>
            </w:tcBorders>
            <w:vAlign w:val="center"/>
          </w:tcPr>
          <w:p w14:paraId="2AEE332C" w14:textId="77777777" w:rsidR="00DA005F" w:rsidRDefault="00B57960">
            <w:pPr>
              <w:pStyle w:val="TableContents"/>
              <w:keepNext w:val="0"/>
              <w:keepLines w:val="0"/>
              <w:widowControl w:val="0"/>
              <w:spacing w:after="0"/>
              <w:jc w:val="center"/>
              <w:rPr>
                <w:sz w:val="22"/>
              </w:rPr>
            </w:pPr>
            <w:r>
              <w:rPr>
                <w:sz w:val="22"/>
              </w:rPr>
              <w:t>1</w:t>
            </w:r>
          </w:p>
        </w:tc>
        <w:tc>
          <w:tcPr>
            <w:tcW w:w="855" w:type="dxa"/>
            <w:tcBorders>
              <w:left w:val="single" w:sz="2" w:space="0" w:color="000000"/>
              <w:bottom w:val="single" w:sz="2" w:space="0" w:color="000000"/>
            </w:tcBorders>
            <w:vAlign w:val="center"/>
          </w:tcPr>
          <w:p w14:paraId="2AEE332D" w14:textId="77777777" w:rsidR="00DA005F" w:rsidRDefault="00B57960">
            <w:pPr>
              <w:pStyle w:val="TableContents"/>
              <w:keepNext w:val="0"/>
              <w:keepLines w:val="0"/>
              <w:widowControl w:val="0"/>
              <w:spacing w:after="0"/>
              <w:jc w:val="center"/>
              <w:rPr>
                <w:sz w:val="22"/>
              </w:rPr>
            </w:pPr>
            <w:r>
              <w:rPr>
                <w:sz w:val="22"/>
              </w:rPr>
              <w:t>3.1</w:t>
            </w:r>
          </w:p>
        </w:tc>
        <w:tc>
          <w:tcPr>
            <w:tcW w:w="2102" w:type="dxa"/>
            <w:tcBorders>
              <w:left w:val="single" w:sz="2" w:space="0" w:color="000000"/>
              <w:bottom w:val="single" w:sz="2" w:space="0" w:color="000000"/>
            </w:tcBorders>
            <w:vAlign w:val="center"/>
          </w:tcPr>
          <w:p w14:paraId="2AEE332E" w14:textId="77777777" w:rsidR="00DA005F" w:rsidRDefault="00B57960">
            <w:pPr>
              <w:pStyle w:val="TableContents"/>
              <w:keepNext w:val="0"/>
              <w:keepLines w:val="0"/>
              <w:widowControl w:val="0"/>
              <w:spacing w:after="0"/>
              <w:rPr>
                <w:sz w:val="22"/>
              </w:rPr>
            </w:pPr>
            <w:r>
              <w:rPr>
                <w:sz w:val="22"/>
              </w:rPr>
              <w:t>SERVIDOR</w:t>
            </w:r>
          </w:p>
        </w:tc>
        <w:tc>
          <w:tcPr>
            <w:tcW w:w="1471" w:type="dxa"/>
            <w:tcBorders>
              <w:left w:val="single" w:sz="2" w:space="0" w:color="000000"/>
              <w:bottom w:val="single" w:sz="2" w:space="0" w:color="000000"/>
            </w:tcBorders>
            <w:vAlign w:val="center"/>
          </w:tcPr>
          <w:p w14:paraId="2AEE332F" w14:textId="77777777" w:rsidR="00DA005F" w:rsidRDefault="00B57960">
            <w:pPr>
              <w:pStyle w:val="TableContents"/>
              <w:keepNext w:val="0"/>
              <w:keepLines w:val="0"/>
              <w:widowControl w:val="0"/>
              <w:spacing w:after="0"/>
              <w:jc w:val="center"/>
              <w:rPr>
                <w:sz w:val="22"/>
              </w:rPr>
            </w:pPr>
            <w:r>
              <w:rPr>
                <w:sz w:val="22"/>
              </w:rPr>
              <w:t>1</w:t>
            </w:r>
          </w:p>
        </w:tc>
        <w:tc>
          <w:tcPr>
            <w:tcW w:w="1925" w:type="dxa"/>
            <w:tcBorders>
              <w:left w:val="single" w:sz="2" w:space="0" w:color="000000"/>
              <w:bottom w:val="single" w:sz="2" w:space="0" w:color="000000"/>
            </w:tcBorders>
            <w:vAlign w:val="center"/>
          </w:tcPr>
          <w:p w14:paraId="2AEE3330" w14:textId="77777777" w:rsidR="00DA005F" w:rsidRDefault="00B57960">
            <w:pPr>
              <w:pStyle w:val="TableContents"/>
              <w:keepNext w:val="0"/>
              <w:keepLines w:val="0"/>
              <w:widowControl w:val="0"/>
              <w:spacing w:after="0"/>
              <w:jc w:val="center"/>
              <w:rPr>
                <w:sz w:val="22"/>
              </w:rPr>
            </w:pPr>
            <w:r>
              <w:rPr>
                <w:sz w:val="22"/>
              </w:rPr>
              <w:t>R$ 52.710,00</w:t>
            </w:r>
          </w:p>
        </w:tc>
        <w:tc>
          <w:tcPr>
            <w:tcW w:w="2016" w:type="dxa"/>
            <w:vMerge w:val="restart"/>
            <w:tcBorders>
              <w:left w:val="single" w:sz="2" w:space="0" w:color="000000"/>
              <w:bottom w:val="single" w:sz="2" w:space="0" w:color="000000"/>
              <w:right w:val="single" w:sz="2" w:space="0" w:color="000000"/>
            </w:tcBorders>
            <w:vAlign w:val="center"/>
          </w:tcPr>
          <w:p w14:paraId="2AEE3331" w14:textId="77777777" w:rsidR="00DA005F" w:rsidRDefault="00B57960">
            <w:pPr>
              <w:pStyle w:val="TableContents"/>
              <w:keepNext w:val="0"/>
              <w:keepLines w:val="0"/>
              <w:widowControl w:val="0"/>
              <w:spacing w:after="0"/>
              <w:jc w:val="center"/>
              <w:rPr>
                <w:b/>
                <w:bCs/>
                <w:sz w:val="22"/>
              </w:rPr>
            </w:pPr>
            <w:r>
              <w:rPr>
                <w:b/>
                <w:bCs/>
                <w:sz w:val="22"/>
              </w:rPr>
              <w:t>R$ 129.000,00</w:t>
            </w:r>
          </w:p>
        </w:tc>
      </w:tr>
      <w:tr w:rsidR="00DA005F" w14:paraId="2AEE3339" w14:textId="77777777">
        <w:tc>
          <w:tcPr>
            <w:tcW w:w="844" w:type="dxa"/>
            <w:vMerge/>
            <w:tcBorders>
              <w:left w:val="single" w:sz="2" w:space="0" w:color="000000"/>
              <w:bottom w:val="single" w:sz="2" w:space="0" w:color="000000"/>
            </w:tcBorders>
            <w:vAlign w:val="center"/>
          </w:tcPr>
          <w:p w14:paraId="2AEE3333" w14:textId="77777777" w:rsidR="00DA005F" w:rsidRDefault="00DA005F">
            <w:pPr>
              <w:pStyle w:val="TableContents"/>
              <w:keepNext w:val="0"/>
              <w:keepLines w:val="0"/>
              <w:widowControl w:val="0"/>
              <w:spacing w:after="0"/>
              <w:jc w:val="center"/>
              <w:rPr>
                <w:sz w:val="22"/>
              </w:rPr>
            </w:pPr>
          </w:p>
        </w:tc>
        <w:tc>
          <w:tcPr>
            <w:tcW w:w="855" w:type="dxa"/>
            <w:tcBorders>
              <w:left w:val="single" w:sz="2" w:space="0" w:color="000000"/>
              <w:bottom w:val="single" w:sz="2" w:space="0" w:color="000000"/>
            </w:tcBorders>
            <w:vAlign w:val="center"/>
          </w:tcPr>
          <w:p w14:paraId="2AEE3334" w14:textId="77777777" w:rsidR="00DA005F" w:rsidRDefault="00B57960">
            <w:pPr>
              <w:pStyle w:val="TableContents"/>
              <w:keepNext w:val="0"/>
              <w:keepLines w:val="0"/>
              <w:widowControl w:val="0"/>
              <w:spacing w:after="0"/>
              <w:jc w:val="center"/>
              <w:rPr>
                <w:sz w:val="22"/>
              </w:rPr>
            </w:pPr>
            <w:r>
              <w:rPr>
                <w:sz w:val="22"/>
              </w:rPr>
              <w:t>3.2</w:t>
            </w:r>
          </w:p>
        </w:tc>
        <w:tc>
          <w:tcPr>
            <w:tcW w:w="2102" w:type="dxa"/>
            <w:tcBorders>
              <w:left w:val="single" w:sz="2" w:space="0" w:color="000000"/>
              <w:bottom w:val="single" w:sz="2" w:space="0" w:color="000000"/>
            </w:tcBorders>
            <w:vAlign w:val="center"/>
          </w:tcPr>
          <w:p w14:paraId="2AEE3335" w14:textId="77777777" w:rsidR="00DA005F" w:rsidRDefault="00B57960">
            <w:pPr>
              <w:pStyle w:val="TableContents"/>
              <w:keepNext w:val="0"/>
              <w:keepLines w:val="0"/>
              <w:widowControl w:val="0"/>
              <w:spacing w:after="0"/>
              <w:rPr>
                <w:sz w:val="22"/>
              </w:rPr>
            </w:pPr>
            <w:r>
              <w:rPr>
                <w:sz w:val="22"/>
              </w:rPr>
              <w:t>TAPE LIBRARY</w:t>
            </w:r>
          </w:p>
        </w:tc>
        <w:tc>
          <w:tcPr>
            <w:tcW w:w="1471" w:type="dxa"/>
            <w:tcBorders>
              <w:left w:val="single" w:sz="2" w:space="0" w:color="000000"/>
              <w:bottom w:val="single" w:sz="2" w:space="0" w:color="000000"/>
            </w:tcBorders>
            <w:vAlign w:val="center"/>
          </w:tcPr>
          <w:p w14:paraId="2AEE3336" w14:textId="77777777" w:rsidR="00DA005F" w:rsidRDefault="00B57960">
            <w:pPr>
              <w:pStyle w:val="TableContents"/>
              <w:keepNext w:val="0"/>
              <w:keepLines w:val="0"/>
              <w:widowControl w:val="0"/>
              <w:spacing w:after="0"/>
              <w:jc w:val="center"/>
              <w:rPr>
                <w:sz w:val="22"/>
              </w:rPr>
            </w:pPr>
            <w:r>
              <w:rPr>
                <w:sz w:val="22"/>
              </w:rPr>
              <w:t>1</w:t>
            </w:r>
          </w:p>
        </w:tc>
        <w:tc>
          <w:tcPr>
            <w:tcW w:w="1925" w:type="dxa"/>
            <w:tcBorders>
              <w:left w:val="single" w:sz="2" w:space="0" w:color="000000"/>
              <w:bottom w:val="single" w:sz="2" w:space="0" w:color="000000"/>
            </w:tcBorders>
            <w:vAlign w:val="center"/>
          </w:tcPr>
          <w:p w14:paraId="2AEE3337" w14:textId="77777777" w:rsidR="00DA005F" w:rsidRDefault="00B57960">
            <w:pPr>
              <w:pStyle w:val="TableContents"/>
              <w:keepNext w:val="0"/>
              <w:keepLines w:val="0"/>
              <w:widowControl w:val="0"/>
              <w:spacing w:after="0"/>
              <w:jc w:val="center"/>
              <w:rPr>
                <w:sz w:val="22"/>
              </w:rPr>
            </w:pPr>
            <w:r>
              <w:rPr>
                <w:sz w:val="22"/>
              </w:rPr>
              <w:t>R$ 76.290,00</w:t>
            </w:r>
          </w:p>
        </w:tc>
        <w:tc>
          <w:tcPr>
            <w:tcW w:w="2016" w:type="dxa"/>
            <w:vMerge/>
            <w:tcBorders>
              <w:left w:val="single" w:sz="2" w:space="0" w:color="000000"/>
              <w:bottom w:val="single" w:sz="2" w:space="0" w:color="000000"/>
              <w:right w:val="single" w:sz="2" w:space="0" w:color="000000"/>
            </w:tcBorders>
            <w:vAlign w:val="center"/>
          </w:tcPr>
          <w:p w14:paraId="2AEE3338" w14:textId="77777777" w:rsidR="00DA005F" w:rsidRDefault="00DA005F">
            <w:pPr>
              <w:pStyle w:val="TableContents"/>
              <w:keepNext w:val="0"/>
              <w:keepLines w:val="0"/>
              <w:widowControl w:val="0"/>
              <w:spacing w:after="0"/>
              <w:jc w:val="center"/>
              <w:rPr>
                <w:b/>
                <w:bCs/>
                <w:sz w:val="22"/>
              </w:rPr>
            </w:pPr>
          </w:p>
        </w:tc>
      </w:tr>
      <w:tr w:rsidR="00DA005F" w14:paraId="2AEE3340" w14:textId="77777777">
        <w:tc>
          <w:tcPr>
            <w:tcW w:w="844" w:type="dxa"/>
            <w:tcBorders>
              <w:left w:val="single" w:sz="2" w:space="0" w:color="000000"/>
              <w:bottom w:val="single" w:sz="2" w:space="0" w:color="000000"/>
            </w:tcBorders>
            <w:vAlign w:val="center"/>
          </w:tcPr>
          <w:p w14:paraId="2AEE333A" w14:textId="77777777" w:rsidR="00DA005F" w:rsidRDefault="00B57960">
            <w:pPr>
              <w:pStyle w:val="TableContents"/>
              <w:keepNext w:val="0"/>
              <w:keepLines w:val="0"/>
              <w:widowControl w:val="0"/>
              <w:spacing w:after="0"/>
              <w:jc w:val="center"/>
              <w:rPr>
                <w:sz w:val="22"/>
              </w:rPr>
            </w:pPr>
            <w:r>
              <w:rPr>
                <w:sz w:val="22"/>
              </w:rPr>
              <w:t>2</w:t>
            </w:r>
          </w:p>
        </w:tc>
        <w:tc>
          <w:tcPr>
            <w:tcW w:w="855" w:type="dxa"/>
            <w:tcBorders>
              <w:left w:val="single" w:sz="2" w:space="0" w:color="000000"/>
              <w:bottom w:val="single" w:sz="2" w:space="0" w:color="000000"/>
            </w:tcBorders>
            <w:vAlign w:val="center"/>
          </w:tcPr>
          <w:p w14:paraId="2AEE333B" w14:textId="77777777" w:rsidR="00DA005F" w:rsidRDefault="00B57960">
            <w:pPr>
              <w:pStyle w:val="TableContents"/>
              <w:keepNext w:val="0"/>
              <w:keepLines w:val="0"/>
              <w:widowControl w:val="0"/>
              <w:spacing w:after="0"/>
              <w:jc w:val="center"/>
              <w:rPr>
                <w:sz w:val="22"/>
              </w:rPr>
            </w:pPr>
            <w:r>
              <w:rPr>
                <w:sz w:val="22"/>
              </w:rPr>
              <w:t>3.3</w:t>
            </w:r>
          </w:p>
        </w:tc>
        <w:tc>
          <w:tcPr>
            <w:tcW w:w="2102" w:type="dxa"/>
            <w:tcBorders>
              <w:left w:val="single" w:sz="2" w:space="0" w:color="000000"/>
              <w:bottom w:val="single" w:sz="2" w:space="0" w:color="000000"/>
            </w:tcBorders>
            <w:vAlign w:val="center"/>
          </w:tcPr>
          <w:p w14:paraId="2AEE333C" w14:textId="77777777" w:rsidR="00DA005F" w:rsidRDefault="00B57960">
            <w:pPr>
              <w:pStyle w:val="TableContents"/>
              <w:keepNext w:val="0"/>
              <w:keepLines w:val="0"/>
              <w:widowControl w:val="0"/>
              <w:spacing w:after="0"/>
              <w:rPr>
                <w:sz w:val="22"/>
              </w:rPr>
            </w:pPr>
            <w:r>
              <w:rPr>
                <w:sz w:val="22"/>
              </w:rPr>
              <w:t>MÍDIA MAGNÉTICA</w:t>
            </w:r>
          </w:p>
        </w:tc>
        <w:tc>
          <w:tcPr>
            <w:tcW w:w="1471" w:type="dxa"/>
            <w:tcBorders>
              <w:left w:val="single" w:sz="2" w:space="0" w:color="000000"/>
              <w:bottom w:val="single" w:sz="2" w:space="0" w:color="000000"/>
            </w:tcBorders>
            <w:vAlign w:val="center"/>
          </w:tcPr>
          <w:p w14:paraId="2AEE333D" w14:textId="77777777" w:rsidR="00DA005F" w:rsidRDefault="00B57960">
            <w:pPr>
              <w:pStyle w:val="TableContents"/>
              <w:keepNext w:val="0"/>
              <w:keepLines w:val="0"/>
              <w:widowControl w:val="0"/>
              <w:spacing w:after="0"/>
              <w:jc w:val="center"/>
              <w:rPr>
                <w:sz w:val="22"/>
              </w:rPr>
            </w:pPr>
            <w:r>
              <w:rPr>
                <w:sz w:val="22"/>
              </w:rPr>
              <w:t>10</w:t>
            </w:r>
          </w:p>
        </w:tc>
        <w:tc>
          <w:tcPr>
            <w:tcW w:w="1925" w:type="dxa"/>
            <w:tcBorders>
              <w:left w:val="single" w:sz="2" w:space="0" w:color="000000"/>
              <w:bottom w:val="single" w:sz="2" w:space="0" w:color="000000"/>
            </w:tcBorders>
            <w:vAlign w:val="center"/>
          </w:tcPr>
          <w:p w14:paraId="2AEE333E" w14:textId="77777777" w:rsidR="00DA005F" w:rsidRDefault="00B57960">
            <w:pPr>
              <w:pStyle w:val="TableContents"/>
              <w:keepNext w:val="0"/>
              <w:keepLines w:val="0"/>
              <w:widowControl w:val="0"/>
              <w:spacing w:after="0"/>
              <w:jc w:val="center"/>
              <w:rPr>
                <w:sz w:val="22"/>
              </w:rPr>
            </w:pPr>
            <w:r>
              <w:rPr>
                <w:sz w:val="22"/>
              </w:rPr>
              <w:t>R$ 1.418,77</w:t>
            </w:r>
          </w:p>
        </w:tc>
        <w:tc>
          <w:tcPr>
            <w:tcW w:w="2016" w:type="dxa"/>
            <w:tcBorders>
              <w:left w:val="single" w:sz="2" w:space="0" w:color="000000"/>
              <w:bottom w:val="single" w:sz="2" w:space="0" w:color="000000"/>
              <w:right w:val="single" w:sz="2" w:space="0" w:color="000000"/>
            </w:tcBorders>
            <w:vAlign w:val="center"/>
          </w:tcPr>
          <w:p w14:paraId="2AEE333F" w14:textId="77777777" w:rsidR="00DA005F" w:rsidRDefault="00B57960">
            <w:pPr>
              <w:pStyle w:val="TableContents"/>
              <w:keepNext w:val="0"/>
              <w:keepLines w:val="0"/>
              <w:widowControl w:val="0"/>
              <w:spacing w:after="0"/>
              <w:jc w:val="center"/>
              <w:rPr>
                <w:b/>
                <w:bCs/>
                <w:sz w:val="22"/>
              </w:rPr>
            </w:pPr>
            <w:r>
              <w:rPr>
                <w:b/>
                <w:bCs/>
                <w:sz w:val="22"/>
              </w:rPr>
              <w:t>R$ 14.187,70</w:t>
            </w:r>
          </w:p>
        </w:tc>
      </w:tr>
      <w:tr w:rsidR="00DA005F" w14:paraId="2AEE3347" w14:textId="77777777">
        <w:tc>
          <w:tcPr>
            <w:tcW w:w="844" w:type="dxa"/>
            <w:tcBorders>
              <w:left w:val="single" w:sz="2" w:space="0" w:color="000000"/>
              <w:bottom w:val="single" w:sz="2" w:space="0" w:color="000000"/>
            </w:tcBorders>
            <w:vAlign w:val="center"/>
          </w:tcPr>
          <w:p w14:paraId="2AEE3341" w14:textId="77777777" w:rsidR="00DA005F" w:rsidRDefault="00B57960">
            <w:pPr>
              <w:pStyle w:val="TableContents"/>
              <w:keepNext w:val="0"/>
              <w:keepLines w:val="0"/>
              <w:widowControl w:val="0"/>
              <w:spacing w:after="0"/>
              <w:jc w:val="center"/>
              <w:rPr>
                <w:sz w:val="22"/>
              </w:rPr>
            </w:pPr>
            <w:r>
              <w:rPr>
                <w:sz w:val="22"/>
              </w:rPr>
              <w:t>3</w:t>
            </w:r>
          </w:p>
        </w:tc>
        <w:tc>
          <w:tcPr>
            <w:tcW w:w="855" w:type="dxa"/>
            <w:tcBorders>
              <w:left w:val="single" w:sz="2" w:space="0" w:color="000000"/>
              <w:bottom w:val="single" w:sz="2" w:space="0" w:color="000000"/>
            </w:tcBorders>
            <w:vAlign w:val="center"/>
          </w:tcPr>
          <w:p w14:paraId="2AEE3342" w14:textId="77777777" w:rsidR="00DA005F" w:rsidRDefault="00B57960">
            <w:pPr>
              <w:pStyle w:val="TableContents"/>
              <w:keepNext w:val="0"/>
              <w:keepLines w:val="0"/>
              <w:widowControl w:val="0"/>
              <w:spacing w:after="0"/>
              <w:jc w:val="center"/>
              <w:rPr>
                <w:sz w:val="22"/>
              </w:rPr>
            </w:pPr>
            <w:r>
              <w:rPr>
                <w:sz w:val="22"/>
              </w:rPr>
              <w:t>3.4</w:t>
            </w:r>
          </w:p>
        </w:tc>
        <w:tc>
          <w:tcPr>
            <w:tcW w:w="2102" w:type="dxa"/>
            <w:tcBorders>
              <w:left w:val="single" w:sz="2" w:space="0" w:color="000000"/>
              <w:bottom w:val="single" w:sz="2" w:space="0" w:color="000000"/>
            </w:tcBorders>
            <w:vAlign w:val="center"/>
          </w:tcPr>
          <w:p w14:paraId="2AEE3343" w14:textId="77777777" w:rsidR="00DA005F" w:rsidRDefault="00B57960">
            <w:pPr>
              <w:pStyle w:val="TableContents"/>
              <w:keepNext w:val="0"/>
              <w:keepLines w:val="0"/>
              <w:widowControl w:val="0"/>
              <w:spacing w:after="0"/>
              <w:rPr>
                <w:sz w:val="22"/>
              </w:rPr>
            </w:pPr>
            <w:r>
              <w:rPr>
                <w:sz w:val="22"/>
              </w:rPr>
              <w:t>NOBREAK</w:t>
            </w:r>
          </w:p>
        </w:tc>
        <w:tc>
          <w:tcPr>
            <w:tcW w:w="1471" w:type="dxa"/>
            <w:tcBorders>
              <w:left w:val="single" w:sz="2" w:space="0" w:color="000000"/>
              <w:bottom w:val="single" w:sz="2" w:space="0" w:color="000000"/>
            </w:tcBorders>
            <w:vAlign w:val="center"/>
          </w:tcPr>
          <w:p w14:paraId="2AEE3344" w14:textId="77777777" w:rsidR="00DA005F" w:rsidRDefault="00B57960">
            <w:pPr>
              <w:pStyle w:val="TableContents"/>
              <w:keepNext w:val="0"/>
              <w:keepLines w:val="0"/>
              <w:widowControl w:val="0"/>
              <w:spacing w:after="0"/>
              <w:jc w:val="center"/>
              <w:rPr>
                <w:sz w:val="22"/>
              </w:rPr>
            </w:pPr>
            <w:r>
              <w:rPr>
                <w:sz w:val="22"/>
              </w:rPr>
              <w:t>1</w:t>
            </w:r>
          </w:p>
        </w:tc>
        <w:tc>
          <w:tcPr>
            <w:tcW w:w="1925" w:type="dxa"/>
            <w:tcBorders>
              <w:left w:val="single" w:sz="2" w:space="0" w:color="000000"/>
              <w:bottom w:val="single" w:sz="2" w:space="0" w:color="000000"/>
            </w:tcBorders>
            <w:vAlign w:val="center"/>
          </w:tcPr>
          <w:p w14:paraId="2AEE3345" w14:textId="77777777" w:rsidR="00DA005F" w:rsidRDefault="00B57960">
            <w:pPr>
              <w:pStyle w:val="TableContents"/>
              <w:keepNext w:val="0"/>
              <w:keepLines w:val="0"/>
              <w:widowControl w:val="0"/>
              <w:spacing w:after="0"/>
              <w:jc w:val="center"/>
              <w:rPr>
                <w:sz w:val="22"/>
              </w:rPr>
            </w:pPr>
            <w:r>
              <w:rPr>
                <w:sz w:val="22"/>
              </w:rPr>
              <w:t>R$ 5.596,93</w:t>
            </w:r>
          </w:p>
        </w:tc>
        <w:tc>
          <w:tcPr>
            <w:tcW w:w="2016" w:type="dxa"/>
            <w:tcBorders>
              <w:left w:val="single" w:sz="2" w:space="0" w:color="000000"/>
              <w:bottom w:val="single" w:sz="2" w:space="0" w:color="000000"/>
              <w:right w:val="single" w:sz="2" w:space="0" w:color="000000"/>
            </w:tcBorders>
            <w:vAlign w:val="center"/>
          </w:tcPr>
          <w:p w14:paraId="2AEE3346" w14:textId="77777777" w:rsidR="00DA005F" w:rsidRDefault="00B57960">
            <w:pPr>
              <w:pStyle w:val="TableContents"/>
              <w:keepNext w:val="0"/>
              <w:keepLines w:val="0"/>
              <w:widowControl w:val="0"/>
              <w:spacing w:after="0"/>
              <w:jc w:val="center"/>
              <w:rPr>
                <w:b/>
                <w:bCs/>
                <w:sz w:val="22"/>
              </w:rPr>
            </w:pPr>
            <w:r>
              <w:rPr>
                <w:b/>
                <w:bCs/>
                <w:sz w:val="22"/>
              </w:rPr>
              <w:t>R$ 5.596,93</w:t>
            </w:r>
          </w:p>
        </w:tc>
      </w:tr>
    </w:tbl>
    <w:p w14:paraId="2AEE3348" w14:textId="382501BE" w:rsidR="00DA005F" w:rsidRDefault="00B57960">
      <w:pPr>
        <w:pStyle w:val="Ttulo2"/>
        <w:keepNext w:val="0"/>
        <w:widowControl w:val="0"/>
        <w:ind w:left="431" w:hanging="431"/>
      </w:pPr>
      <w:r>
        <w:rPr>
          <w:rFonts w:ascii="Liberation Serif" w:hAnsi="Liberation Serif"/>
          <w:b/>
          <w:bCs/>
          <w:color w:val="000000"/>
          <w:szCs w:val="24"/>
          <w:u w:val="single"/>
        </w:rPr>
        <w:t>Será considerada vencedora de cada lote a LICITANTE que apresentar o menor “Valor Total” por lote;</w:t>
      </w:r>
    </w:p>
    <w:p w14:paraId="2AEE3349" w14:textId="77777777" w:rsidR="00DA005F" w:rsidRDefault="00B57960">
      <w:pPr>
        <w:pStyle w:val="Ttulo2"/>
        <w:keepNext w:val="0"/>
        <w:widowControl w:val="0"/>
        <w:ind w:left="431" w:hanging="431"/>
      </w:pPr>
      <w:r>
        <w:rPr>
          <w:rStyle w:val="eop"/>
          <w:rFonts w:ascii="Liberation Serif" w:hAnsi="Liberation Serif"/>
          <w:color w:val="000000"/>
          <w:szCs w:val="24"/>
        </w:rPr>
        <w:t>Após a homologação, tendo o “Valor Total” de cada lote definido, os itens serão proporcionalmente calculados, para efeitos de medições e respectivos pagamentos.</w:t>
      </w:r>
    </w:p>
    <w:p w14:paraId="2AEE334A" w14:textId="77777777" w:rsidR="00DA005F" w:rsidRDefault="00B57960">
      <w:pPr>
        <w:pStyle w:val="Ttulo1"/>
        <w:keepNext w:val="0"/>
        <w:widowControl w:val="0"/>
      </w:pPr>
      <w:r>
        <w:t>DOTAÇÃO ORÇAMENTÁRIA</w:t>
      </w:r>
    </w:p>
    <w:p w14:paraId="2AEE334B" w14:textId="706C148B" w:rsidR="00DA005F" w:rsidRDefault="00B57960">
      <w:pPr>
        <w:pStyle w:val="Ttulo2"/>
        <w:keepNext w:val="0"/>
        <w:widowControl w:val="0"/>
      </w:pPr>
      <w:r>
        <w:t>O pagamento do processo licitatório decorrerá por conta da</w:t>
      </w:r>
      <w:r w:rsidR="009835CE">
        <w:t>s</w:t>
      </w:r>
      <w:r>
        <w:t xml:space="preserve"> despesa</w:t>
      </w:r>
      <w:r w:rsidR="009835CE">
        <w:t>s</w:t>
      </w:r>
      <w:r>
        <w:t xml:space="preserve">: </w:t>
      </w:r>
      <w:r w:rsidR="009835CE">
        <w:t>142 e 143</w:t>
      </w:r>
      <w:r>
        <w:t xml:space="preserve">, na Ação </w:t>
      </w:r>
      <w:r w:rsidR="00B63F41">
        <w:t>2.157</w:t>
      </w:r>
      <w:r>
        <w:t xml:space="preserve"> </w:t>
      </w:r>
      <w:r w:rsidR="0046439C">
        <w:t>–</w:t>
      </w:r>
      <w:r>
        <w:t xml:space="preserve"> </w:t>
      </w:r>
      <w:r w:rsidR="0046439C">
        <w:t xml:space="preserve">Segurança, Modernização e Manutenção do Parque </w:t>
      </w:r>
      <w:r w:rsidR="000A333E">
        <w:t>Tecnológico</w:t>
      </w:r>
      <w:r>
        <w:t xml:space="preserve">, da Secretaria </w:t>
      </w:r>
      <w:r w:rsidR="000A333E">
        <w:t>de Tecnologia</w:t>
      </w:r>
      <w:r>
        <w:t>.</w:t>
      </w:r>
    </w:p>
    <w:p w14:paraId="2AEE334C" w14:textId="77777777" w:rsidR="00DA005F" w:rsidRDefault="00B57960">
      <w:pPr>
        <w:pStyle w:val="Ttulo1"/>
        <w:keepNext w:val="0"/>
        <w:keepLines w:val="0"/>
        <w:widowControl w:val="0"/>
      </w:pPr>
      <w:r>
        <w:t>CONDIÇÕES DE EXECUÇÃO</w:t>
      </w:r>
    </w:p>
    <w:p w14:paraId="2AEE334D" w14:textId="77777777" w:rsidR="00DA005F" w:rsidRDefault="00B57960">
      <w:pPr>
        <w:pStyle w:val="Ttulo2"/>
        <w:keepNext w:val="0"/>
        <w:keepLines w:val="0"/>
        <w:widowControl w:val="0"/>
      </w:pPr>
      <w:r>
        <w:t>ENTREGA DOS ITENS</w:t>
      </w:r>
    </w:p>
    <w:p w14:paraId="2AEE334E" w14:textId="77777777" w:rsidR="00DA005F" w:rsidRDefault="00B57960">
      <w:pPr>
        <w:pStyle w:val="Ttulo3"/>
        <w:keepNext w:val="0"/>
        <w:widowControl w:val="0"/>
        <w:spacing w:line="360" w:lineRule="auto"/>
      </w:pPr>
      <w:r>
        <w:t>A CONTRATADA se responsabilizará por todas as despesas referentes ao frete e entrega dos produtos, bem como quanto à qualidade deste no ato do recebimento por parte da CONTRATANTE;</w:t>
      </w:r>
    </w:p>
    <w:p w14:paraId="2AEE334F" w14:textId="77777777" w:rsidR="00DA005F" w:rsidRDefault="00B57960">
      <w:pPr>
        <w:pStyle w:val="Ttulo3"/>
        <w:keepNext w:val="0"/>
        <w:widowControl w:val="0"/>
        <w:spacing w:line="360" w:lineRule="auto"/>
      </w:pPr>
      <w:r>
        <w:lastRenderedPageBreak/>
        <w:t>Todos os itens devem ser entregues na Secretaria Municipal de Tecnologia – SETEC, no Paço Municipal, na Rua Alberto Werner, número 100, 2º andar, no horário de funcionamento padrão do Município;</w:t>
      </w:r>
    </w:p>
    <w:p w14:paraId="2AEE3350" w14:textId="77777777" w:rsidR="00DA005F" w:rsidRDefault="00B57960">
      <w:pPr>
        <w:pStyle w:val="Ttulo3"/>
        <w:keepNext w:val="0"/>
        <w:widowControl w:val="0"/>
        <w:spacing w:line="360" w:lineRule="auto"/>
      </w:pPr>
      <w:r>
        <w:t>No momento da entrega cada item será conferido, conforme as respectivas especificações estabelecidas neste instrumento. Todos os produtos devem ser novos e estarem de acordo com as normas técnicas brasileiras.</w:t>
      </w:r>
    </w:p>
    <w:p w14:paraId="2AEE3351" w14:textId="77777777" w:rsidR="00DA005F" w:rsidRDefault="00B57960">
      <w:pPr>
        <w:pStyle w:val="Ttulo2"/>
        <w:keepNext w:val="0"/>
        <w:keepLines w:val="0"/>
        <w:widowControl w:val="0"/>
      </w:pPr>
      <w:r>
        <w:t>GARANTIA</w:t>
      </w:r>
    </w:p>
    <w:p w14:paraId="2AEE3352" w14:textId="77777777" w:rsidR="00DA005F" w:rsidRDefault="00B57960">
      <w:pPr>
        <w:pStyle w:val="Ttulo3"/>
        <w:keepNext w:val="0"/>
        <w:widowControl w:val="0"/>
        <w:spacing w:line="360" w:lineRule="auto"/>
      </w:pPr>
      <w:r>
        <w:t>Os períodos de garantia dos equipamentos especificados neste instrumento devem estar em conformidade com os prazos especificados na descrição técnica de cada item, iniciados a partir da emissão da nota fiscal.</w:t>
      </w:r>
    </w:p>
    <w:p w14:paraId="2AEE3353" w14:textId="77777777" w:rsidR="00DA005F" w:rsidRDefault="00B57960">
      <w:pPr>
        <w:pStyle w:val="Ttulo2"/>
        <w:keepNext w:val="0"/>
        <w:keepLines w:val="0"/>
        <w:widowControl w:val="0"/>
      </w:pPr>
      <w:r>
        <w:t>PRAZO DE ENTREGA</w:t>
      </w:r>
    </w:p>
    <w:p w14:paraId="2AEE3354" w14:textId="77777777" w:rsidR="00DA005F" w:rsidRDefault="00B57960">
      <w:pPr>
        <w:pStyle w:val="Ttulo3"/>
        <w:keepNext w:val="0"/>
        <w:widowControl w:val="0"/>
        <w:spacing w:line="360" w:lineRule="auto"/>
      </w:pPr>
      <w:r>
        <w:t>As entregas deverão ser efetuadas em até 30 (trinta) dias corridos, contados do recebimento da Nota de Empenho.</w:t>
      </w:r>
    </w:p>
    <w:p w14:paraId="2AEE3355" w14:textId="77777777" w:rsidR="00DA005F" w:rsidRDefault="00B57960">
      <w:pPr>
        <w:pStyle w:val="Ttulo1"/>
        <w:keepNext w:val="0"/>
        <w:keepLines w:val="0"/>
        <w:widowControl w:val="0"/>
      </w:pPr>
      <w:r>
        <w:t>OBRIGAÇÕES DAS PARTES</w:t>
      </w:r>
    </w:p>
    <w:p w14:paraId="2AEE3356" w14:textId="77777777" w:rsidR="00DA005F" w:rsidRDefault="00B57960">
      <w:pPr>
        <w:pStyle w:val="Ttulo2"/>
        <w:keepNext w:val="0"/>
        <w:keepLines w:val="0"/>
        <w:widowControl w:val="0"/>
      </w:pPr>
      <w:r>
        <w:t>OBRIGAÇÕES DA CONTRATADA</w:t>
      </w:r>
    </w:p>
    <w:p w14:paraId="2AEE3357" w14:textId="77777777" w:rsidR="00DA005F" w:rsidRDefault="00B57960">
      <w:pPr>
        <w:pStyle w:val="Ttulo3"/>
        <w:keepNext w:val="0"/>
        <w:keepLines w:val="0"/>
        <w:widowControl w:val="0"/>
        <w:spacing w:line="360" w:lineRule="auto"/>
      </w:pPr>
      <w:r>
        <w:rPr>
          <w:color w:val="auto"/>
          <w:szCs w:val="24"/>
        </w:rPr>
        <w:t>Fornecer os itens descritos conforme condições apresentadas neste termo;</w:t>
      </w:r>
    </w:p>
    <w:p w14:paraId="2AEE3358" w14:textId="77777777" w:rsidR="00DA005F" w:rsidRDefault="00B57960">
      <w:pPr>
        <w:pStyle w:val="Ttulo3"/>
        <w:keepNext w:val="0"/>
        <w:keepLines w:val="0"/>
        <w:widowControl w:val="0"/>
        <w:spacing w:line="360" w:lineRule="auto"/>
      </w:pPr>
      <w:r>
        <w:rPr>
          <w:color w:val="auto"/>
          <w:szCs w:val="24"/>
        </w:rPr>
        <w:t>Providenciar a troca dos itens defeituosos ou incorretos sem ônus para CONTRATANTE;</w:t>
      </w:r>
    </w:p>
    <w:p w14:paraId="2AEE3359" w14:textId="77777777" w:rsidR="00DA005F" w:rsidRDefault="00B57960">
      <w:pPr>
        <w:pStyle w:val="Ttulo3"/>
        <w:keepNext w:val="0"/>
        <w:keepLines w:val="0"/>
        <w:widowControl w:val="0"/>
        <w:spacing w:line="360" w:lineRule="auto"/>
      </w:pPr>
      <w:r>
        <w:rPr>
          <w:color w:val="auto"/>
          <w:szCs w:val="24"/>
        </w:rPr>
        <w:t>Arcar com as despesas de transporte e outras relacionadas em caso de necessidade de troca dos equipamentos durante o prazo de garantia estabelecido neste termo.</w:t>
      </w:r>
    </w:p>
    <w:p w14:paraId="2AEE335A" w14:textId="77777777" w:rsidR="00DA005F" w:rsidRDefault="00B57960">
      <w:pPr>
        <w:pStyle w:val="Ttulo2"/>
        <w:keepNext w:val="0"/>
        <w:keepLines w:val="0"/>
        <w:widowControl w:val="0"/>
      </w:pPr>
      <w:r>
        <w:t>OBRIGAÇÕES DA CONTRATANTE</w:t>
      </w:r>
    </w:p>
    <w:p w14:paraId="2AEE335B" w14:textId="77777777" w:rsidR="00DA005F" w:rsidRDefault="00B57960">
      <w:pPr>
        <w:pStyle w:val="Ttulo3"/>
        <w:keepNext w:val="0"/>
        <w:widowControl w:val="0"/>
        <w:spacing w:line="360" w:lineRule="auto"/>
      </w:pPr>
      <w:r>
        <w:t>Rejeitar, no todo ou em parte, o material e/ou serviços que a empresa vencedora entregar e/ou executar fora das especificações do edital e da proposta;</w:t>
      </w:r>
    </w:p>
    <w:p w14:paraId="2AEE335C" w14:textId="77777777" w:rsidR="00DA005F" w:rsidRDefault="00B57960">
      <w:pPr>
        <w:pStyle w:val="Ttulo3"/>
        <w:keepNext w:val="0"/>
        <w:keepLines w:val="0"/>
        <w:widowControl w:val="0"/>
        <w:spacing w:line="360" w:lineRule="auto"/>
      </w:pPr>
      <w:r>
        <w:rPr>
          <w:color w:val="auto"/>
          <w:szCs w:val="24"/>
        </w:rPr>
        <w:t>Efetuar o pagamento à CONTRATADA após recebimento dos materiais adquiridos e validação de funcionamento.</w:t>
      </w:r>
    </w:p>
    <w:p w14:paraId="2AEE335D" w14:textId="77777777" w:rsidR="00DA005F" w:rsidRDefault="00B57960">
      <w:pPr>
        <w:pStyle w:val="Ttulo1"/>
        <w:keepNext w:val="0"/>
        <w:keepLines w:val="0"/>
        <w:widowControl w:val="0"/>
      </w:pPr>
      <w:r>
        <w:lastRenderedPageBreak/>
        <w:t>FISCALIZAÇÃO DO CONTRATO</w:t>
      </w:r>
    </w:p>
    <w:p w14:paraId="2AEE335E" w14:textId="77777777" w:rsidR="00DA005F" w:rsidRDefault="00B57960">
      <w:pPr>
        <w:keepNext w:val="0"/>
        <w:keepLines w:val="0"/>
        <w:widowControl w:val="0"/>
      </w:pPr>
      <w:r>
        <w:t>Os itens adquiridos serão fiscalizados pelo servidor Cláudio Renato Santiago, Diretor de Gestão Operacional, matrícula número 2231703, lotado na Secretaria Municipal de Tecnologia, que apontará as deficiências verificadas, as quais deverão ser sanadas pela empresa CONTRATADA, devendo esta proceder as correções imediatamente, sob as penas legais cabíveis.</w:t>
      </w:r>
    </w:p>
    <w:p w14:paraId="2AEE335F" w14:textId="77777777" w:rsidR="00DA005F" w:rsidRDefault="00B57960">
      <w:pPr>
        <w:pStyle w:val="Ttulo1"/>
        <w:keepNext w:val="0"/>
        <w:keepLines w:val="0"/>
        <w:widowControl w:val="0"/>
      </w:pPr>
      <w:r>
        <w:t>CONDIÇÕES DE PAGAMENTO</w:t>
      </w:r>
    </w:p>
    <w:p w14:paraId="2AEE3360" w14:textId="77777777" w:rsidR="00DA005F" w:rsidRDefault="00B57960">
      <w:pPr>
        <w:keepNext w:val="0"/>
        <w:keepLines w:val="0"/>
        <w:widowControl w:val="0"/>
      </w:pPr>
      <w:r>
        <w:rPr>
          <w:szCs w:val="24"/>
        </w:rPr>
        <w:t>A empresa deverá apresentar, junto da nota fiscal, relatório detalhado da entrega/execução dos itens, devidamente assinado. O pagamento dos referidos itens prestados deverá ser executado mediante aceite da respectiva nota fiscal pelo gestor e fiscal do contrato.</w:t>
      </w:r>
    </w:p>
    <w:p w14:paraId="2AEE3361" w14:textId="77777777" w:rsidR="00DA005F" w:rsidRDefault="00DA005F">
      <w:pPr>
        <w:keepNext w:val="0"/>
        <w:keepLines w:val="0"/>
        <w:widowControl w:val="0"/>
        <w:rPr>
          <w:szCs w:val="24"/>
        </w:rPr>
      </w:pPr>
    </w:p>
    <w:p w14:paraId="2AEE3362" w14:textId="77777777" w:rsidR="00DA005F" w:rsidRDefault="00B57960">
      <w:pPr>
        <w:keepNext w:val="0"/>
        <w:keepLines w:val="0"/>
        <w:widowControl w:val="0"/>
        <w:jc w:val="left"/>
      </w:pPr>
      <w:r>
        <w:rPr>
          <w:szCs w:val="24"/>
        </w:rPr>
        <w:t>Sendo o que tínhamos, nos colocamos à disposição para dirimir quaisquer dúvidas que ainda não foram esclarecidas neste instrumento.</w:t>
      </w:r>
    </w:p>
    <w:p w14:paraId="2AEE3363" w14:textId="77777777" w:rsidR="00DA005F" w:rsidRDefault="00DA005F">
      <w:pPr>
        <w:widowControl w:val="0"/>
        <w:jc w:val="left"/>
        <w:rPr>
          <w:szCs w:val="24"/>
        </w:rPr>
      </w:pPr>
    </w:p>
    <w:tbl>
      <w:tblPr>
        <w:tblW w:w="9325" w:type="dxa"/>
        <w:tblInd w:w="-109" w:type="dxa"/>
        <w:tblLayout w:type="fixed"/>
        <w:tblCellMar>
          <w:top w:w="55" w:type="dxa"/>
          <w:left w:w="55" w:type="dxa"/>
          <w:bottom w:w="55" w:type="dxa"/>
          <w:right w:w="55" w:type="dxa"/>
        </w:tblCellMar>
        <w:tblLook w:val="04A0" w:firstRow="1" w:lastRow="0" w:firstColumn="1" w:lastColumn="0" w:noHBand="0" w:noVBand="1"/>
      </w:tblPr>
      <w:tblGrid>
        <w:gridCol w:w="663"/>
        <w:gridCol w:w="3697"/>
        <w:gridCol w:w="571"/>
        <w:gridCol w:w="3976"/>
        <w:gridCol w:w="418"/>
      </w:tblGrid>
      <w:tr w:rsidR="00DA005F" w14:paraId="2AEE336B" w14:textId="77777777">
        <w:tc>
          <w:tcPr>
            <w:tcW w:w="663" w:type="dxa"/>
            <w:shd w:val="clear" w:color="auto" w:fill="auto"/>
          </w:tcPr>
          <w:p w14:paraId="2AEE3364" w14:textId="77777777" w:rsidR="00DA005F" w:rsidRDefault="00DA005F">
            <w:pPr>
              <w:pStyle w:val="TableContents"/>
              <w:keepNext w:val="0"/>
              <w:keepLines w:val="0"/>
              <w:widowControl w:val="0"/>
              <w:spacing w:after="0"/>
            </w:pPr>
          </w:p>
        </w:tc>
        <w:tc>
          <w:tcPr>
            <w:tcW w:w="3697" w:type="dxa"/>
            <w:tcBorders>
              <w:top w:val="single" w:sz="4" w:space="0" w:color="000000"/>
            </w:tcBorders>
            <w:shd w:val="clear" w:color="auto" w:fill="auto"/>
          </w:tcPr>
          <w:p w14:paraId="2AEE3365" w14:textId="77777777" w:rsidR="00DA005F" w:rsidRDefault="00B57960">
            <w:pPr>
              <w:keepNext w:val="0"/>
              <w:keepLines w:val="0"/>
              <w:widowControl w:val="0"/>
              <w:spacing w:after="0"/>
              <w:jc w:val="center"/>
              <w:rPr>
                <w:b/>
              </w:rPr>
            </w:pPr>
            <w:r>
              <w:rPr>
                <w:b/>
              </w:rPr>
              <w:t>CLÁUDIO RENATO SANTIAGO</w:t>
            </w:r>
          </w:p>
          <w:p w14:paraId="2AEE3366" w14:textId="77777777" w:rsidR="00DA005F" w:rsidRDefault="00B57960">
            <w:pPr>
              <w:keepNext w:val="0"/>
              <w:keepLines w:val="0"/>
              <w:widowControl w:val="0"/>
              <w:spacing w:after="0"/>
              <w:jc w:val="center"/>
            </w:pPr>
            <w:r>
              <w:t>Diretor de Gestão Operacional</w:t>
            </w:r>
          </w:p>
        </w:tc>
        <w:tc>
          <w:tcPr>
            <w:tcW w:w="571" w:type="dxa"/>
            <w:shd w:val="clear" w:color="auto" w:fill="auto"/>
          </w:tcPr>
          <w:p w14:paraId="2AEE3367" w14:textId="77777777" w:rsidR="00DA005F" w:rsidRDefault="00DA005F">
            <w:pPr>
              <w:pStyle w:val="TableContents"/>
              <w:keepNext w:val="0"/>
              <w:keepLines w:val="0"/>
              <w:widowControl w:val="0"/>
              <w:spacing w:after="0"/>
            </w:pPr>
          </w:p>
        </w:tc>
        <w:tc>
          <w:tcPr>
            <w:tcW w:w="3976" w:type="dxa"/>
            <w:tcBorders>
              <w:top w:val="single" w:sz="4" w:space="0" w:color="000000"/>
            </w:tcBorders>
            <w:shd w:val="clear" w:color="auto" w:fill="auto"/>
          </w:tcPr>
          <w:p w14:paraId="2AEE3368" w14:textId="77777777" w:rsidR="00DA005F" w:rsidRDefault="00B57960">
            <w:pPr>
              <w:keepNext w:val="0"/>
              <w:keepLines w:val="0"/>
              <w:widowControl w:val="0"/>
              <w:spacing w:after="0"/>
              <w:ind w:left="-63"/>
              <w:jc w:val="center"/>
              <w:rPr>
                <w:b/>
              </w:rPr>
            </w:pPr>
            <w:r>
              <w:rPr>
                <w:b/>
              </w:rPr>
              <w:t>MURILO SODRÉ DE SOUZA</w:t>
            </w:r>
          </w:p>
          <w:p w14:paraId="2AEE3369" w14:textId="77777777" w:rsidR="00DA005F" w:rsidRDefault="00B57960">
            <w:pPr>
              <w:keepNext w:val="0"/>
              <w:keepLines w:val="0"/>
              <w:widowControl w:val="0"/>
              <w:spacing w:after="0"/>
              <w:ind w:left="-144"/>
              <w:jc w:val="center"/>
            </w:pPr>
            <w:r>
              <w:t>Secretário de Tecnologia</w:t>
            </w:r>
          </w:p>
        </w:tc>
        <w:tc>
          <w:tcPr>
            <w:tcW w:w="418" w:type="dxa"/>
            <w:shd w:val="clear" w:color="auto" w:fill="auto"/>
          </w:tcPr>
          <w:p w14:paraId="2AEE336A" w14:textId="77777777" w:rsidR="00DA005F" w:rsidRDefault="00DA005F">
            <w:pPr>
              <w:pStyle w:val="TableContents"/>
              <w:keepNext w:val="0"/>
              <w:keepLines w:val="0"/>
              <w:widowControl w:val="0"/>
              <w:spacing w:after="0"/>
            </w:pPr>
          </w:p>
        </w:tc>
      </w:tr>
    </w:tbl>
    <w:p w14:paraId="2AEE336C" w14:textId="77777777" w:rsidR="00DA005F" w:rsidRDefault="00DA005F">
      <w:pPr>
        <w:keepNext w:val="0"/>
        <w:keepLines w:val="0"/>
        <w:widowControl w:val="0"/>
        <w:spacing w:after="160"/>
      </w:pPr>
    </w:p>
    <w:sectPr w:rsidR="00DA005F" w:rsidSect="00661232">
      <w:headerReference w:type="default" r:id="rId8"/>
      <w:footerReference w:type="default" r:id="rId9"/>
      <w:pgSz w:w="11906" w:h="16838"/>
      <w:pgMar w:top="2410" w:right="991" w:bottom="1843" w:left="1701" w:header="709" w:footer="494"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597DFD" w14:textId="77777777" w:rsidR="00865B0B" w:rsidRDefault="00865B0B">
      <w:pPr>
        <w:spacing w:after="0" w:line="240" w:lineRule="auto"/>
      </w:pPr>
      <w:r>
        <w:separator/>
      </w:r>
    </w:p>
  </w:endnote>
  <w:endnote w:type="continuationSeparator" w:id="0">
    <w:p w14:paraId="17C2D9D6" w14:textId="77777777" w:rsidR="00865B0B" w:rsidRDefault="00865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DejaVu Sans">
    <w:altName w:val="Verdana"/>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WenQuanYi Micro Hei;MS Mincho">
    <w:panose1 w:val="00000000000000000000"/>
    <w:charset w:val="00"/>
    <w:family w:val="roman"/>
    <w:notTrueType/>
    <w:pitch w:val="default"/>
  </w:font>
  <w:font w:name="Liberation Sans">
    <w:altName w:val="Arial"/>
    <w:charset w:val="01"/>
    <w:family w:val="roman"/>
    <w:pitch w:val="variable"/>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horndale">
    <w:altName w:val="Times New Roman"/>
    <w:charset w:val="01"/>
    <w:family w:val="roman"/>
    <w:pitch w:val="variable"/>
  </w:font>
  <w:font w:name="HG Mincho Light J">
    <w:charset w:val="00"/>
    <w:family w:val="auto"/>
    <w:pitch w:val="variable"/>
    <w:sig w:usb0="00000003" w:usb1="00000000" w:usb2="00000000" w:usb3="00000000" w:csb0="00000001" w:csb1="00000000"/>
  </w:font>
  <w:font w:name="Liberation Serif">
    <w:altName w:val="Times New Roman"/>
    <w:charset w:val="01"/>
    <w:family w:val="roman"/>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E3370" w14:textId="77777777" w:rsidR="00DA005F" w:rsidRDefault="00B57960">
    <w:pPr>
      <w:pStyle w:val="Rodap"/>
      <w:tabs>
        <w:tab w:val="clear" w:pos="8504"/>
        <w:tab w:val="right" w:pos="7938"/>
      </w:tabs>
      <w:ind w:right="1276"/>
      <w:jc w:val="right"/>
    </w:pPr>
    <w:r>
      <w:rPr>
        <w:noProof/>
        <w:lang w:eastAsia="pt-BR"/>
      </w:rPr>
      <w:drawing>
        <wp:anchor distT="0" distB="0" distL="0" distR="0" simplePos="0" relativeHeight="19" behindDoc="1" locked="0" layoutInCell="0" allowOverlap="1" wp14:anchorId="2AEE3379" wp14:editId="2AEE337A">
          <wp:simplePos x="0" y="0"/>
          <wp:positionH relativeFrom="margin">
            <wp:posOffset>5312410</wp:posOffset>
          </wp:positionH>
          <wp:positionV relativeFrom="paragraph">
            <wp:posOffset>4445</wp:posOffset>
          </wp:positionV>
          <wp:extent cx="486410" cy="627380"/>
          <wp:effectExtent l="0" t="0" r="0" b="0"/>
          <wp:wrapNone/>
          <wp:docPr id="10" name="Image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49"/>
                  <pic:cNvPicPr>
                    <a:picLocks noChangeAspect="1" noChangeArrowheads="1"/>
                  </pic:cNvPicPr>
                </pic:nvPicPr>
                <pic:blipFill>
                  <a:blip r:embed="rId1"/>
                  <a:stretch>
                    <a:fillRect/>
                  </a:stretch>
                </pic:blipFill>
                <pic:spPr bwMode="auto">
                  <a:xfrm>
                    <a:off x="0" y="0"/>
                    <a:ext cx="486410" cy="627380"/>
                  </a:xfrm>
                  <a:prstGeom prst="rect">
                    <a:avLst/>
                  </a:prstGeom>
                </pic:spPr>
              </pic:pic>
            </a:graphicData>
          </a:graphic>
        </wp:anchor>
      </w:drawing>
    </w:r>
    <w:r>
      <w:rPr>
        <w:rFonts w:cs="Times New Roman"/>
        <w:b/>
        <w:sz w:val="18"/>
        <w:lang w:eastAsia="pt-BR"/>
      </w:rPr>
      <w:t>MUNICÍPIO</w:t>
    </w:r>
    <w:r>
      <w:rPr>
        <w:rFonts w:cs="Times New Roman"/>
        <w:b/>
        <w:sz w:val="18"/>
      </w:rPr>
      <w:t xml:space="preserve"> DE ITAJAÍ – SECRETARIA MUNICIPAL DE TECNOLOGIA</w:t>
    </w:r>
  </w:p>
  <w:p w14:paraId="2AEE3371" w14:textId="77777777" w:rsidR="00DA005F" w:rsidRDefault="00B57960">
    <w:pPr>
      <w:pStyle w:val="Rodap"/>
      <w:tabs>
        <w:tab w:val="clear" w:pos="8504"/>
      </w:tabs>
      <w:ind w:right="1276"/>
      <w:jc w:val="right"/>
      <w:rPr>
        <w:rFonts w:cs="Times New Roman"/>
        <w:i/>
        <w:sz w:val="18"/>
      </w:rPr>
    </w:pPr>
    <w:r>
      <w:rPr>
        <w:rFonts w:cs="Times New Roman"/>
        <w:i/>
        <w:sz w:val="18"/>
      </w:rPr>
      <w:t>Endereço: Rua Alberto Werner, 100 – Itajaí/SC</w:t>
    </w:r>
  </w:p>
  <w:p w14:paraId="2AEE3372" w14:textId="32C1F2C7" w:rsidR="00DA005F" w:rsidRDefault="00B57960">
    <w:pPr>
      <w:pStyle w:val="Rodap"/>
      <w:ind w:right="850" w:hanging="1418"/>
    </w:pPr>
    <w:r>
      <w:rPr>
        <w:noProof/>
        <w:lang w:eastAsia="pt-BR"/>
      </w:rPr>
      <mc:AlternateContent>
        <mc:Choice Requires="wps">
          <w:drawing>
            <wp:anchor distT="0" distB="0" distL="0" distR="0" simplePos="0" relativeHeight="10" behindDoc="1" locked="0" layoutInCell="0" allowOverlap="1" wp14:anchorId="2AEE337B" wp14:editId="2AEE337C">
              <wp:simplePos x="0" y="0"/>
              <wp:positionH relativeFrom="page">
                <wp:align>left</wp:align>
              </wp:positionH>
              <wp:positionV relativeFrom="paragraph">
                <wp:posOffset>252095</wp:posOffset>
              </wp:positionV>
              <wp:extent cx="6170930" cy="149860"/>
              <wp:effectExtent l="0" t="0" r="0" b="0"/>
              <wp:wrapNone/>
              <wp:docPr id="4" name="Retângulo 1"/>
              <wp:cNvGraphicFramePr/>
              <a:graphic xmlns:a="http://schemas.openxmlformats.org/drawingml/2006/main">
                <a:graphicData uri="http://schemas.microsoft.com/office/word/2010/wordprocessingShape">
                  <wps:wsp>
                    <wps:cNvSpPr/>
                    <wps:spPr>
                      <a:xfrm>
                        <a:off x="0" y="0"/>
                        <a:ext cx="6170400" cy="149400"/>
                      </a:xfrm>
                      <a:prstGeom prst="rect">
                        <a:avLst/>
                      </a:prstGeom>
                      <a:solidFill>
                        <a:srgbClr val="1F6081"/>
                      </a:solid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73BE152" id="Retângulo 1" o:spid="_x0000_s1026" style="position:absolute;margin-left:0;margin-top:19.85pt;width:485.9pt;height:11.8pt;z-index:-503316470;visibility:visible;mso-wrap-style:square;mso-wrap-distance-left:0;mso-wrap-distance-top:0;mso-wrap-distance-right:0;mso-wrap-distance-bottom:0;mso-position-horizontal:left;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" o:allowincell="f" fillcolor="#1f6081" stroked="f" strokeweight="0">
              <w10:wrap anchorx="page"/>
            </v:rect>
          </w:pict>
        </mc:Fallback>
      </mc:AlternateContent>
    </w:r>
    <w:r>
      <w:rPr>
        <w:rFonts w:cs="Times New Roman"/>
        <w:sz w:val="14"/>
      </w:rPr>
      <w:t xml:space="preserve">Página </w:t>
    </w:r>
    <w:r>
      <w:rPr>
        <w:rFonts w:cs="Times New Roman"/>
        <w:b/>
        <w:bCs/>
        <w:sz w:val="14"/>
      </w:rPr>
      <w:fldChar w:fldCharType="begin"/>
    </w:r>
    <w:r>
      <w:rPr>
        <w:rFonts w:cs="Times New Roman"/>
        <w:b/>
        <w:bCs/>
        <w:sz w:val="14"/>
      </w:rPr>
      <w:instrText>PAGE</w:instrText>
    </w:r>
    <w:r>
      <w:rPr>
        <w:rFonts w:cs="Times New Roman"/>
        <w:b/>
        <w:bCs/>
        <w:sz w:val="14"/>
      </w:rPr>
      <w:fldChar w:fldCharType="separate"/>
    </w:r>
    <w:r w:rsidR="00894729">
      <w:rPr>
        <w:rFonts w:cs="Times New Roman"/>
        <w:b/>
        <w:bCs/>
        <w:noProof/>
        <w:sz w:val="14"/>
      </w:rPr>
      <w:t>7</w:t>
    </w:r>
    <w:r>
      <w:rPr>
        <w:rFonts w:cs="Times New Roman"/>
        <w:b/>
        <w:bCs/>
        <w:sz w:val="14"/>
      </w:rPr>
      <w:fldChar w:fldCharType="end"/>
    </w:r>
    <w:r>
      <w:rPr>
        <w:rFonts w:cs="Times New Roman"/>
        <w:sz w:val="14"/>
      </w:rPr>
      <w:t xml:space="preserve"> de </w:t>
    </w:r>
    <w:r>
      <w:rPr>
        <w:rFonts w:cs="Times New Roman"/>
        <w:b/>
        <w:bCs/>
        <w:sz w:val="14"/>
      </w:rPr>
      <w:fldChar w:fldCharType="begin"/>
    </w:r>
    <w:r>
      <w:rPr>
        <w:rFonts w:cs="Times New Roman"/>
        <w:b/>
        <w:bCs/>
        <w:sz w:val="14"/>
      </w:rPr>
      <w:instrText>NUMPAGES</w:instrText>
    </w:r>
    <w:r>
      <w:rPr>
        <w:rFonts w:cs="Times New Roman"/>
        <w:b/>
        <w:bCs/>
        <w:sz w:val="14"/>
      </w:rPr>
      <w:fldChar w:fldCharType="separate"/>
    </w:r>
    <w:r w:rsidR="00894729">
      <w:rPr>
        <w:rFonts w:cs="Times New Roman"/>
        <w:b/>
        <w:bCs/>
        <w:noProof/>
        <w:sz w:val="14"/>
      </w:rPr>
      <w:t>9</w:t>
    </w:r>
    <w:r>
      <w:rPr>
        <w:rFonts w:cs="Times New Roman"/>
        <w:b/>
        <w:bCs/>
        <w:sz w:val="14"/>
      </w:rPr>
      <w:fldChar w:fldCharType="end"/>
    </w:r>
    <w:r>
      <w:rPr>
        <w:rFonts w:cs="Times New Roman"/>
        <w:b/>
        <w:bCs/>
        <w:sz w:val="14"/>
      </w:rPr>
      <w:t xml:space="preserve">                         </w:t>
    </w:r>
    <w:r>
      <w:rPr>
        <w:rFonts w:cs="Times New Roman"/>
        <w:b/>
        <w:bCs/>
        <w:sz w:val="18"/>
      </w:rPr>
      <w:tab/>
      <w:t xml:space="preserve">                                                                          </w:t>
    </w:r>
    <w:r>
      <w:rPr>
        <w:rFonts w:cs="Times New Roman"/>
        <w:bCs/>
        <w:sz w:val="18"/>
      </w:rPr>
      <w:t>T</w:t>
    </w:r>
    <w:r>
      <w:rPr>
        <w:rFonts w:cs="Times New Roman"/>
        <w:sz w:val="18"/>
      </w:rPr>
      <w:t>elefone</w:t>
    </w:r>
    <w:r>
      <w:rPr>
        <w:rFonts w:cs="Times New Roman"/>
        <w:i/>
        <w:sz w:val="18"/>
      </w:rPr>
      <w:t>: +55 (47) 3341-6090  - setec@itajai.sc.gov.br</w:t>
    </w:r>
  </w:p>
  <w:p w14:paraId="2AEE3373" w14:textId="77777777" w:rsidR="00DA005F" w:rsidRDefault="00DA005F">
    <w:pPr>
      <w:pStyle w:val="Rodap"/>
    </w:pPr>
  </w:p>
  <w:p w14:paraId="2AEE3374" w14:textId="77777777" w:rsidR="00DA005F" w:rsidRDefault="00DA005F">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938AB2" w14:textId="77777777" w:rsidR="00865B0B" w:rsidRDefault="00865B0B">
      <w:pPr>
        <w:spacing w:after="0" w:line="240" w:lineRule="auto"/>
      </w:pPr>
      <w:r>
        <w:separator/>
      </w:r>
    </w:p>
  </w:footnote>
  <w:footnote w:type="continuationSeparator" w:id="0">
    <w:p w14:paraId="6C825941" w14:textId="77777777" w:rsidR="00865B0B" w:rsidRDefault="00865B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E336D" w14:textId="77777777" w:rsidR="00DA005F" w:rsidRDefault="00B57960">
    <w:pPr>
      <w:pStyle w:val="Cabealho"/>
      <w:jc w:val="right"/>
    </w:pPr>
    <w:r>
      <w:rPr>
        <w:noProof/>
        <w:lang w:eastAsia="pt-BR"/>
      </w:rPr>
      <w:drawing>
        <wp:anchor distT="0" distB="0" distL="0" distR="0" simplePos="0" relativeHeight="28" behindDoc="1" locked="0" layoutInCell="0" allowOverlap="1" wp14:anchorId="2AEE3375" wp14:editId="2AEE3376">
          <wp:simplePos x="0" y="0"/>
          <wp:positionH relativeFrom="margin">
            <wp:posOffset>3977640</wp:posOffset>
          </wp:positionH>
          <wp:positionV relativeFrom="paragraph">
            <wp:posOffset>15240</wp:posOffset>
          </wp:positionV>
          <wp:extent cx="1825625" cy="541655"/>
          <wp:effectExtent l="0" t="0" r="0" b="0"/>
          <wp:wrapNone/>
          <wp:docPr id="8" name="Image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8"/>
                  <pic:cNvPicPr>
                    <a:picLocks noChangeAspect="1" noChangeArrowheads="1"/>
                  </pic:cNvPicPr>
                </pic:nvPicPr>
                <pic:blipFill>
                  <a:blip r:embed="rId1"/>
                  <a:stretch>
                    <a:fillRect/>
                  </a:stretch>
                </pic:blipFill>
                <pic:spPr bwMode="auto">
                  <a:xfrm>
                    <a:off x="0" y="0"/>
                    <a:ext cx="1825625" cy="541655"/>
                  </a:xfrm>
                  <a:prstGeom prst="rect">
                    <a:avLst/>
                  </a:prstGeom>
                </pic:spPr>
              </pic:pic>
            </a:graphicData>
          </a:graphic>
        </wp:anchor>
      </w:drawing>
    </w:r>
    <w:r>
      <w:rPr>
        <w:noProof/>
        <w:lang w:eastAsia="pt-BR"/>
      </w:rPr>
      <w:drawing>
        <wp:anchor distT="0" distB="0" distL="0" distR="0" simplePos="0" relativeHeight="37" behindDoc="1" locked="0" layoutInCell="0" allowOverlap="1" wp14:anchorId="2AEE3377" wp14:editId="2AEE3378">
          <wp:simplePos x="0" y="0"/>
          <wp:positionH relativeFrom="column">
            <wp:posOffset>0</wp:posOffset>
          </wp:positionH>
          <wp:positionV relativeFrom="paragraph">
            <wp:posOffset>6985</wp:posOffset>
          </wp:positionV>
          <wp:extent cx="1863090" cy="547370"/>
          <wp:effectExtent l="0" t="0" r="0" b="0"/>
          <wp:wrapNone/>
          <wp:docPr id="9" name="Imagem 35" descr="Uma imagem contendo desenh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35" descr="Uma imagem contendo desenho&#10;&#10;Descrição gerada automaticamente"/>
                  <pic:cNvPicPr>
                    <a:picLocks noChangeAspect="1" noChangeArrowheads="1"/>
                  </pic:cNvPicPr>
                </pic:nvPicPr>
                <pic:blipFill>
                  <a:blip r:embed="rId2"/>
                  <a:stretch>
                    <a:fillRect/>
                  </a:stretch>
                </pic:blipFill>
                <pic:spPr bwMode="auto">
                  <a:xfrm>
                    <a:off x="0" y="0"/>
                    <a:ext cx="1863090" cy="547370"/>
                  </a:xfrm>
                  <a:prstGeom prst="rect">
                    <a:avLst/>
                  </a:prstGeom>
                </pic:spPr>
              </pic:pic>
            </a:graphicData>
          </a:graphic>
        </wp:anchor>
      </w:drawing>
    </w:r>
  </w:p>
  <w:p w14:paraId="2AEE336E" w14:textId="77777777" w:rsidR="00DA005F" w:rsidRDefault="00DA005F">
    <w:pPr>
      <w:pStyle w:val="Cabealho"/>
      <w:jc w:val="right"/>
    </w:pPr>
  </w:p>
  <w:p w14:paraId="2AEE336F" w14:textId="77777777" w:rsidR="00DA005F" w:rsidRDefault="00DA005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B4086"/>
    <w:multiLevelType w:val="multilevel"/>
    <w:tmpl w:val="08C49C86"/>
    <w:lvl w:ilvl="0">
      <w:start w:val="1"/>
      <w:numFmt w:val="decimal"/>
      <w:pStyle w:val="Ttulo1"/>
      <w:lvlText w:val="%1"/>
      <w:lvlJc w:val="left"/>
      <w:pPr>
        <w:tabs>
          <w:tab w:val="num" w:pos="0"/>
        </w:tabs>
        <w:ind w:left="432" w:hanging="432"/>
      </w:pPr>
    </w:lvl>
    <w:lvl w:ilvl="1">
      <w:start w:val="1"/>
      <w:numFmt w:val="decimal"/>
      <w:pStyle w:val="Ttulo2"/>
      <w:lvlText w:val="%1.%2"/>
      <w:lvlJc w:val="left"/>
      <w:pPr>
        <w:tabs>
          <w:tab w:val="num" w:pos="0"/>
        </w:tabs>
        <w:ind w:left="576" w:hanging="576"/>
      </w:pPr>
    </w:lvl>
    <w:lvl w:ilvl="2">
      <w:start w:val="1"/>
      <w:numFmt w:val="decimal"/>
      <w:pStyle w:val="Ttulo3"/>
      <w:lvlText w:val="%1.%2.%3"/>
      <w:lvlJc w:val="left"/>
      <w:pPr>
        <w:tabs>
          <w:tab w:val="num" w:pos="0"/>
        </w:tabs>
        <w:ind w:left="720" w:hanging="720"/>
      </w:pPr>
    </w:lvl>
    <w:lvl w:ilvl="3">
      <w:start w:val="1"/>
      <w:numFmt w:val="decimal"/>
      <w:pStyle w:val="Ttulo4"/>
      <w:lvlText w:val="%1.%2.%3.%4"/>
      <w:lvlJc w:val="left"/>
      <w:pPr>
        <w:tabs>
          <w:tab w:val="num" w:pos="0"/>
        </w:tabs>
        <w:ind w:left="5259" w:hanging="864"/>
      </w:pPr>
    </w:lvl>
    <w:lvl w:ilvl="4">
      <w:start w:val="1"/>
      <w:numFmt w:val="decimal"/>
      <w:pStyle w:val="Ttulo5"/>
      <w:lvlText w:val="%1.%2.%3.%4.%5"/>
      <w:lvlJc w:val="left"/>
      <w:pPr>
        <w:tabs>
          <w:tab w:val="num" w:pos="0"/>
        </w:tabs>
        <w:ind w:left="1008" w:hanging="1008"/>
      </w:pPr>
    </w:lvl>
    <w:lvl w:ilvl="5">
      <w:start w:val="1"/>
      <w:numFmt w:val="decimal"/>
      <w:pStyle w:val="Ttulo6"/>
      <w:lvlText w:val="%1.%2.%3.%4.%5.%6"/>
      <w:lvlJc w:val="left"/>
      <w:pPr>
        <w:tabs>
          <w:tab w:val="num" w:pos="0"/>
        </w:tabs>
        <w:ind w:left="1152" w:hanging="1152"/>
      </w:pPr>
    </w:lvl>
    <w:lvl w:ilvl="6">
      <w:start w:val="1"/>
      <w:numFmt w:val="decimal"/>
      <w:pStyle w:val="Ttulo7"/>
      <w:lvlText w:val="%1.%2.%3.%4.%5.%6.%7"/>
      <w:lvlJc w:val="left"/>
      <w:pPr>
        <w:tabs>
          <w:tab w:val="num" w:pos="0"/>
        </w:tabs>
        <w:ind w:left="1296" w:hanging="1296"/>
      </w:pPr>
    </w:lvl>
    <w:lvl w:ilvl="7">
      <w:start w:val="1"/>
      <w:numFmt w:val="decimal"/>
      <w:pStyle w:val="Ttulo8"/>
      <w:lvlText w:val="%1.%2.%3.%4.%5.%6.%7.%8"/>
      <w:lvlJc w:val="left"/>
      <w:pPr>
        <w:tabs>
          <w:tab w:val="num" w:pos="0"/>
        </w:tabs>
        <w:ind w:left="1440" w:hanging="1440"/>
      </w:pPr>
    </w:lvl>
    <w:lvl w:ilvl="8">
      <w:start w:val="1"/>
      <w:numFmt w:val="decimal"/>
      <w:pStyle w:val="Ttulo9"/>
      <w:lvlText w:val="%1.%2.%3.%4.%5.%6.%7.%8.%9"/>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05F"/>
    <w:rsid w:val="000A333E"/>
    <w:rsid w:val="003B164E"/>
    <w:rsid w:val="003D556D"/>
    <w:rsid w:val="0046439C"/>
    <w:rsid w:val="00661232"/>
    <w:rsid w:val="00687E3A"/>
    <w:rsid w:val="007C6293"/>
    <w:rsid w:val="00865B0B"/>
    <w:rsid w:val="00894729"/>
    <w:rsid w:val="009835CE"/>
    <w:rsid w:val="009A0766"/>
    <w:rsid w:val="00B257F6"/>
    <w:rsid w:val="00B57960"/>
    <w:rsid w:val="00B63F41"/>
    <w:rsid w:val="00DA005F"/>
    <w:rsid w:val="00E40903"/>
    <w:rsid w:val="00FE273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E32B5"/>
  <w15:docId w15:val="{CCFC75F9-5CD0-4172-82F6-8A81D31B4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DejaVu Sans"/>
        <w:szCs w:val="22"/>
        <w:lang w:val="pt-BR"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F0F"/>
    <w:pPr>
      <w:keepNext/>
      <w:keepLines/>
      <w:spacing w:after="240" w:line="360" w:lineRule="auto"/>
      <w:jc w:val="both"/>
    </w:pPr>
    <w:rPr>
      <w:rFonts w:ascii="Times New Roman" w:hAnsi="Times New Roman"/>
      <w:sz w:val="24"/>
    </w:rPr>
  </w:style>
  <w:style w:type="paragraph" w:styleId="Ttulo1">
    <w:name w:val="heading 1"/>
    <w:basedOn w:val="Normal"/>
    <w:next w:val="Normal"/>
    <w:uiPriority w:val="9"/>
    <w:qFormat/>
    <w:rsid w:val="001E7E53"/>
    <w:pPr>
      <w:numPr>
        <w:numId w:val="1"/>
      </w:numPr>
      <w:spacing w:before="480" w:after="80"/>
      <w:ind w:left="431" w:hanging="431"/>
      <w:outlineLvl w:val="0"/>
    </w:pPr>
    <w:rPr>
      <w:b/>
      <w:sz w:val="28"/>
      <w:szCs w:val="28"/>
    </w:rPr>
  </w:style>
  <w:style w:type="paragraph" w:styleId="Ttulo2">
    <w:name w:val="heading 2"/>
    <w:basedOn w:val="Normal"/>
    <w:next w:val="Normal"/>
    <w:uiPriority w:val="9"/>
    <w:unhideWhenUsed/>
    <w:qFormat/>
    <w:rsid w:val="004C3E04"/>
    <w:pPr>
      <w:numPr>
        <w:ilvl w:val="1"/>
        <w:numId w:val="1"/>
      </w:numPr>
      <w:spacing w:before="200" w:after="80"/>
      <w:ind w:left="578" w:hanging="578"/>
      <w:outlineLvl w:val="1"/>
    </w:pPr>
  </w:style>
  <w:style w:type="paragraph" w:styleId="Ttulo3">
    <w:name w:val="heading 3"/>
    <w:basedOn w:val="Normal"/>
    <w:next w:val="Normal"/>
    <w:uiPriority w:val="9"/>
    <w:unhideWhenUsed/>
    <w:qFormat/>
    <w:rsid w:val="00B53E67"/>
    <w:pPr>
      <w:numPr>
        <w:ilvl w:val="2"/>
        <w:numId w:val="1"/>
      </w:numPr>
      <w:spacing w:before="80" w:after="20" w:line="288" w:lineRule="auto"/>
      <w:outlineLvl w:val="2"/>
    </w:pPr>
    <w:rPr>
      <w:color w:val="000000"/>
    </w:rPr>
  </w:style>
  <w:style w:type="paragraph" w:styleId="Ttulo4">
    <w:name w:val="heading 4"/>
    <w:basedOn w:val="Normal"/>
    <w:next w:val="Normal"/>
    <w:uiPriority w:val="9"/>
    <w:unhideWhenUsed/>
    <w:qFormat/>
    <w:rsid w:val="00487B3D"/>
    <w:pPr>
      <w:numPr>
        <w:ilvl w:val="3"/>
        <w:numId w:val="1"/>
      </w:numPr>
      <w:spacing w:before="100" w:after="40" w:line="288" w:lineRule="auto"/>
      <w:ind w:left="864" w:firstLine="0"/>
      <w:outlineLvl w:val="3"/>
    </w:pPr>
    <w:rPr>
      <w:iCs/>
    </w:rPr>
  </w:style>
  <w:style w:type="paragraph" w:styleId="Ttulo5">
    <w:name w:val="heading 5"/>
    <w:basedOn w:val="Normal"/>
    <w:next w:val="Normal"/>
    <w:uiPriority w:val="9"/>
    <w:semiHidden/>
    <w:unhideWhenUsed/>
    <w:qFormat/>
    <w:pPr>
      <w:numPr>
        <w:ilvl w:val="4"/>
        <w:numId w:val="1"/>
      </w:numPr>
      <w:spacing w:after="40" w:line="240" w:lineRule="auto"/>
      <w:outlineLvl w:val="4"/>
    </w:pPr>
  </w:style>
  <w:style w:type="paragraph" w:styleId="Ttulo6">
    <w:name w:val="heading 6"/>
    <w:basedOn w:val="Normal"/>
    <w:next w:val="Normal"/>
    <w:uiPriority w:val="9"/>
    <w:semiHidden/>
    <w:unhideWhenUsed/>
    <w:qFormat/>
    <w:pPr>
      <w:numPr>
        <w:ilvl w:val="5"/>
        <w:numId w:val="1"/>
      </w:numPr>
      <w:spacing w:before="40" w:after="0"/>
      <w:outlineLvl w:val="5"/>
    </w:pPr>
    <w:rPr>
      <w:rFonts w:ascii="Calibri Light" w:hAnsi="Calibri Light"/>
      <w:color w:val="1F3763"/>
    </w:rPr>
  </w:style>
  <w:style w:type="paragraph" w:styleId="Ttulo7">
    <w:name w:val="heading 7"/>
    <w:basedOn w:val="Normal"/>
    <w:next w:val="Normal"/>
    <w:qFormat/>
    <w:pPr>
      <w:numPr>
        <w:ilvl w:val="6"/>
        <w:numId w:val="1"/>
      </w:numPr>
      <w:spacing w:before="40" w:after="0"/>
      <w:outlineLvl w:val="6"/>
    </w:pPr>
    <w:rPr>
      <w:rFonts w:ascii="Calibri Light" w:hAnsi="Calibri Light"/>
      <w:i/>
      <w:iCs/>
      <w:color w:val="1F3763"/>
    </w:rPr>
  </w:style>
  <w:style w:type="paragraph" w:styleId="Ttulo8">
    <w:name w:val="heading 8"/>
    <w:basedOn w:val="Normal"/>
    <w:next w:val="Normal"/>
    <w:qFormat/>
    <w:pPr>
      <w:numPr>
        <w:ilvl w:val="7"/>
        <w:numId w:val="1"/>
      </w:numPr>
      <w:spacing w:before="40" w:after="0"/>
      <w:outlineLvl w:val="7"/>
    </w:pPr>
    <w:rPr>
      <w:rFonts w:ascii="Calibri Light" w:hAnsi="Calibri Light"/>
      <w:color w:val="272727"/>
      <w:sz w:val="21"/>
      <w:szCs w:val="21"/>
    </w:rPr>
  </w:style>
  <w:style w:type="paragraph" w:styleId="Ttulo9">
    <w:name w:val="heading 9"/>
    <w:basedOn w:val="Normal"/>
    <w:next w:val="Normal"/>
    <w:qFormat/>
    <w:pPr>
      <w:numPr>
        <w:ilvl w:val="8"/>
        <w:numId w:val="1"/>
      </w:numPr>
      <w:spacing w:before="40" w:after="0"/>
      <w:outlineLvl w:val="8"/>
    </w:pPr>
    <w:rPr>
      <w:rFonts w:ascii="Calibri Light" w:hAnsi="Calibri Light"/>
      <w:i/>
      <w:iCs/>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Char">
    <w:name w:val="Título Char"/>
    <w:basedOn w:val="Fontepargpadro"/>
    <w:qFormat/>
    <w:rPr>
      <w:rFonts w:eastAsia="Calibri" w:cs="DejaVu Sans"/>
      <w:spacing w:val="-10"/>
      <w:kern w:val="2"/>
      <w:sz w:val="32"/>
      <w:szCs w:val="56"/>
    </w:rPr>
  </w:style>
  <w:style w:type="character" w:customStyle="1" w:styleId="Ttulo1Char">
    <w:name w:val="Título 1 Char"/>
    <w:basedOn w:val="Fontepargpadro"/>
    <w:qFormat/>
    <w:rPr>
      <w:rFonts w:ascii="Times New Roman" w:eastAsia="Calibri" w:hAnsi="Times New Roman" w:cs="DejaVu Sans"/>
      <w:b/>
      <w:sz w:val="28"/>
    </w:rPr>
  </w:style>
  <w:style w:type="character" w:customStyle="1" w:styleId="Ttulo2Char">
    <w:name w:val="Título 2 Char"/>
    <w:basedOn w:val="Fontepargpadro"/>
    <w:qFormat/>
    <w:rPr>
      <w:rFonts w:eastAsia="Calibri" w:cs="DejaVu Sans"/>
      <w:b/>
    </w:rPr>
  </w:style>
  <w:style w:type="character" w:customStyle="1" w:styleId="Ttulo3Char">
    <w:name w:val="Título 3 Char"/>
    <w:basedOn w:val="Fontepargpadro"/>
    <w:qFormat/>
    <w:rPr>
      <w:rFonts w:eastAsia="Calibri" w:cs="DejaVu Sans"/>
      <w:b/>
      <w:color w:val="000000"/>
    </w:rPr>
  </w:style>
  <w:style w:type="character" w:customStyle="1" w:styleId="Ttulo4Char">
    <w:name w:val="Título 4 Char"/>
    <w:basedOn w:val="Fontepargpadro"/>
    <w:qFormat/>
    <w:rPr>
      <w:rFonts w:eastAsia="Calibri" w:cs="DejaVu Sans"/>
      <w:b/>
      <w:iCs/>
    </w:rPr>
  </w:style>
  <w:style w:type="character" w:customStyle="1" w:styleId="Ttulo5Char">
    <w:name w:val="Título 5 Char"/>
    <w:basedOn w:val="Fontepargpadro"/>
    <w:qFormat/>
    <w:rPr>
      <w:rFonts w:eastAsia="Calibri" w:cs="DejaVu Sans"/>
    </w:rPr>
  </w:style>
  <w:style w:type="character" w:customStyle="1" w:styleId="Ttulo6Char">
    <w:name w:val="Título 6 Char"/>
    <w:basedOn w:val="Fontepargpadro"/>
    <w:qFormat/>
    <w:rPr>
      <w:rFonts w:ascii="Calibri Light" w:eastAsia="Calibri" w:hAnsi="Calibri Light" w:cs="DejaVu Sans"/>
      <w:color w:val="1F3763"/>
    </w:rPr>
  </w:style>
  <w:style w:type="character" w:customStyle="1" w:styleId="Ttulo7Char">
    <w:name w:val="Título 7 Char"/>
    <w:basedOn w:val="Fontepargpadro"/>
    <w:qFormat/>
    <w:rPr>
      <w:rFonts w:ascii="Calibri Light" w:eastAsia="Calibri" w:hAnsi="Calibri Light" w:cs="DejaVu Sans"/>
      <w:i/>
      <w:iCs/>
      <w:color w:val="1F3763"/>
    </w:rPr>
  </w:style>
  <w:style w:type="character" w:customStyle="1" w:styleId="Ttulo8Char">
    <w:name w:val="Título 8 Char"/>
    <w:basedOn w:val="Fontepargpadro"/>
    <w:qFormat/>
    <w:rPr>
      <w:rFonts w:ascii="Calibri Light" w:eastAsia="Calibri" w:hAnsi="Calibri Light" w:cs="DejaVu Sans"/>
      <w:color w:val="272727"/>
      <w:sz w:val="21"/>
      <w:szCs w:val="21"/>
    </w:rPr>
  </w:style>
  <w:style w:type="character" w:customStyle="1" w:styleId="Ttulo9Char">
    <w:name w:val="Título 9 Char"/>
    <w:basedOn w:val="Fontepargpadro"/>
    <w:qFormat/>
    <w:rPr>
      <w:rFonts w:ascii="Calibri Light" w:eastAsia="Calibri" w:hAnsi="Calibri Light" w:cs="DejaVu Sans"/>
      <w:i/>
      <w:iCs/>
      <w:color w:val="272727"/>
      <w:sz w:val="21"/>
      <w:szCs w:val="21"/>
    </w:rPr>
  </w:style>
  <w:style w:type="character" w:customStyle="1" w:styleId="PargrafodaListaChar">
    <w:name w:val="Parágrafo da Lista Char"/>
    <w:basedOn w:val="Fontepargpadro"/>
    <w:qFormat/>
    <w:rPr>
      <w:rFonts w:ascii="Century Gothic" w:hAnsi="Century Gothic"/>
    </w:rPr>
  </w:style>
  <w:style w:type="character" w:customStyle="1" w:styleId="ItemChar">
    <w:name w:val="Item Char"/>
    <w:basedOn w:val="PargrafodaListaChar"/>
    <w:qFormat/>
    <w:rPr>
      <w:rFonts w:ascii="Century Gothic" w:hAnsi="Century Gothic" w:cs="Calibri"/>
    </w:rPr>
  </w:style>
  <w:style w:type="character" w:customStyle="1" w:styleId="NormalWebChar">
    <w:name w:val="Normal (Web) Char"/>
    <w:basedOn w:val="Fontepargpadro"/>
    <w:qFormat/>
    <w:rPr>
      <w:rFonts w:ascii="Times New Roman" w:eastAsia="Times New Roman" w:hAnsi="Times New Roman" w:cs="Times New Roman"/>
      <w:sz w:val="24"/>
      <w:szCs w:val="24"/>
      <w:lang w:eastAsia="pt-BR"/>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sz w:val="20"/>
      <w:szCs w:val="20"/>
    </w:rPr>
  </w:style>
  <w:style w:type="character" w:customStyle="1" w:styleId="TextodebaloChar">
    <w:name w:val="Texto de balão Char"/>
    <w:basedOn w:val="Fontepargpadro"/>
    <w:qFormat/>
    <w:rPr>
      <w:rFonts w:ascii="Segoe UI" w:hAnsi="Segoe UI" w:cs="Segoe UI"/>
      <w:sz w:val="18"/>
      <w:szCs w:val="18"/>
    </w:rPr>
  </w:style>
  <w:style w:type="character" w:customStyle="1" w:styleId="Ttulo-Num-N2Char">
    <w:name w:val="Título-Num-N2 Char"/>
    <w:basedOn w:val="Ttulo2Char"/>
    <w:qFormat/>
    <w:rPr>
      <w:rFonts w:ascii="Century Gothic" w:eastAsia="Calibri" w:hAnsi="Century Gothic" w:cs="DejaVu Sans"/>
      <w:b/>
      <w:sz w:val="28"/>
      <w:szCs w:val="26"/>
    </w:rPr>
  </w:style>
  <w:style w:type="character" w:customStyle="1" w:styleId="AssuntodocomentrioChar">
    <w:name w:val="Assunto do comentário Char"/>
    <w:basedOn w:val="TextodecomentrioChar"/>
    <w:qFormat/>
    <w:rPr>
      <w:b/>
      <w:bCs/>
      <w:sz w:val="20"/>
      <w:szCs w:val="20"/>
    </w:rPr>
  </w:style>
  <w:style w:type="character" w:customStyle="1" w:styleId="CorpodetextoChar">
    <w:name w:val="Corpo de texto Char"/>
    <w:basedOn w:val="Fontepargpadro"/>
    <w:qFormat/>
    <w:rPr>
      <w:rFonts w:ascii="Times New Roman" w:eastAsia="Times New Roman" w:hAnsi="Times New Roman" w:cs="Times New Roman"/>
      <w:color w:val="00000A"/>
      <w:sz w:val="28"/>
      <w:szCs w:val="20"/>
      <w:lang w:eastAsia="zh-CN"/>
    </w:rPr>
  </w:style>
  <w:style w:type="character" w:customStyle="1" w:styleId="CabealhoChar">
    <w:name w:val="Cabeçalho Char"/>
    <w:basedOn w:val="Fontepargpadro"/>
    <w:qFormat/>
  </w:style>
  <w:style w:type="character" w:customStyle="1" w:styleId="RodapChar">
    <w:name w:val="Rodapé Char"/>
    <w:basedOn w:val="Fontepargpadro"/>
    <w:qFormat/>
  </w:style>
  <w:style w:type="character" w:customStyle="1" w:styleId="Hyperlink1">
    <w:name w:val="Hyperlink1"/>
    <w:basedOn w:val="Fontepargpadro"/>
    <w:qFormat/>
    <w:rPr>
      <w:color w:val="0563C1"/>
      <w:u w:val="single"/>
    </w:rPr>
  </w:style>
  <w:style w:type="character" w:customStyle="1" w:styleId="UnresolvedMention">
    <w:name w:val="Unresolved Mention"/>
    <w:basedOn w:val="Fontepargpadro"/>
    <w:qFormat/>
    <w:rPr>
      <w:color w:val="808080"/>
      <w:highlight w:val="white"/>
    </w:rPr>
  </w:style>
  <w:style w:type="character" w:customStyle="1" w:styleId="WW8Num24z0">
    <w:name w:val="WW8Num24z0"/>
    <w:qFormat/>
    <w:rPr>
      <w:rFonts w:ascii="Arial" w:eastAsia="Lucida Sans Unicode" w:hAnsi="Arial" w:cs="Arial"/>
      <w:b w:val="0"/>
      <w:sz w:val="22"/>
      <w:szCs w:val="22"/>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5z0">
    <w:name w:val="WW8Num5z0"/>
    <w:qFormat/>
    <w:rPr>
      <w:b w:val="0"/>
    </w:rPr>
  </w:style>
  <w:style w:type="character" w:customStyle="1" w:styleId="NumberingSymbols">
    <w:name w:val="Numbering Symbols"/>
    <w:qFormat/>
  </w:style>
  <w:style w:type="character" w:customStyle="1" w:styleId="WW8Num4z0">
    <w:name w:val="WW8Num4z0"/>
    <w:qFormat/>
    <w:rPr>
      <w:rFonts w:ascii="Arial" w:eastAsia="WenQuanYi Micro Hei;MS Mincho" w:hAnsi="Arial" w:cs="Arial"/>
      <w:b w:val="0"/>
      <w:kern w:val="2"/>
      <w:sz w:val="22"/>
      <w:szCs w:val="22"/>
      <w:lang w:eastAsia="hi-IN" w:bidi="hi-IN"/>
    </w:rPr>
  </w:style>
  <w:style w:type="character" w:customStyle="1" w:styleId="eop">
    <w:name w:val="eop"/>
    <w:basedOn w:val="Fontepargpadro"/>
    <w:qFormat/>
    <w:rsid w:val="00D43217"/>
  </w:style>
  <w:style w:type="paragraph" w:customStyle="1" w:styleId="Heading">
    <w:name w:val="Heading"/>
    <w:basedOn w:val="Normal"/>
    <w:next w:val="Corpodetexto"/>
    <w:qFormat/>
    <w:pPr>
      <w:spacing w:before="240" w:after="120"/>
    </w:pPr>
    <w:rPr>
      <w:rFonts w:ascii="Liberation Sans" w:eastAsia="DejaVu Sans" w:hAnsi="Liberation Sans"/>
      <w:sz w:val="28"/>
      <w:szCs w:val="28"/>
    </w:rPr>
  </w:style>
  <w:style w:type="paragraph" w:styleId="Corpodetexto">
    <w:name w:val="Body Text"/>
    <w:basedOn w:val="Normal"/>
    <w:rPr>
      <w:rFonts w:eastAsia="Times New Roman" w:cs="Times New Roman"/>
      <w:color w:val="00000A"/>
      <w:sz w:val="28"/>
      <w:szCs w:val="20"/>
      <w:lang w:eastAsia="zh-CN"/>
    </w:rPr>
  </w:style>
  <w:style w:type="paragraph" w:styleId="Lista">
    <w:name w:val="List"/>
    <w:basedOn w:val="Corpodetexto"/>
  </w:style>
  <w:style w:type="paragraph" w:styleId="Legenda">
    <w:name w:val="caption"/>
    <w:basedOn w:val="Normal"/>
    <w:qFormat/>
    <w:pPr>
      <w:suppressLineNumbers/>
      <w:spacing w:before="120" w:after="120"/>
    </w:pPr>
    <w:rPr>
      <w:i/>
      <w:iCs/>
      <w:szCs w:val="24"/>
    </w:rPr>
  </w:style>
  <w:style w:type="paragraph" w:customStyle="1" w:styleId="Index">
    <w:name w:val="Index"/>
    <w:basedOn w:val="Normal"/>
    <w:qFormat/>
    <w:pPr>
      <w:suppressLineNumbers/>
    </w:pPr>
  </w:style>
  <w:style w:type="paragraph" w:styleId="Ttulo">
    <w:name w:val="Title"/>
    <w:basedOn w:val="Normal"/>
    <w:next w:val="Normal"/>
    <w:uiPriority w:val="10"/>
    <w:qFormat/>
    <w:pPr>
      <w:spacing w:before="240" w:after="80"/>
      <w:contextualSpacing/>
    </w:pPr>
    <w:rPr>
      <w:spacing w:val="-10"/>
      <w:kern w:val="2"/>
      <w:sz w:val="32"/>
      <w:szCs w:val="56"/>
    </w:rPr>
  </w:style>
  <w:style w:type="paragraph" w:styleId="PargrafodaLista">
    <w:name w:val="List Paragraph"/>
    <w:basedOn w:val="Normal"/>
    <w:qFormat/>
    <w:pPr>
      <w:spacing w:before="120" w:line="240" w:lineRule="auto"/>
      <w:ind w:left="720"/>
      <w:contextualSpacing/>
    </w:pPr>
    <w:rPr>
      <w:rFonts w:ascii="Century Gothic" w:hAnsi="Century Gothic"/>
    </w:rPr>
  </w:style>
  <w:style w:type="paragraph" w:customStyle="1" w:styleId="Item">
    <w:name w:val="Item"/>
    <w:basedOn w:val="Normal"/>
    <w:autoRedefine/>
    <w:qFormat/>
    <w:pPr>
      <w:spacing w:after="0" w:line="288" w:lineRule="auto"/>
      <w:ind w:left="1423"/>
    </w:pPr>
    <w:rPr>
      <w:rFonts w:cs="Calibri"/>
    </w:rPr>
  </w:style>
  <w:style w:type="paragraph" w:styleId="NormalWeb">
    <w:name w:val="Normal (Web)"/>
    <w:basedOn w:val="Normal"/>
    <w:qFormat/>
    <w:pPr>
      <w:spacing w:before="280" w:after="280" w:line="240" w:lineRule="auto"/>
    </w:pPr>
    <w:rPr>
      <w:rFonts w:eastAsia="Times New Roman" w:cs="Times New Roman"/>
      <w:szCs w:val="24"/>
      <w:lang w:eastAsia="pt-BR"/>
    </w:rPr>
  </w:style>
  <w:style w:type="paragraph" w:styleId="Textodecomentrio">
    <w:name w:val="annotation text"/>
    <w:basedOn w:val="Normal"/>
    <w:qFormat/>
    <w:pPr>
      <w:spacing w:line="240" w:lineRule="auto"/>
    </w:pPr>
    <w:rPr>
      <w:sz w:val="20"/>
      <w:szCs w:val="20"/>
    </w:rPr>
  </w:style>
  <w:style w:type="paragraph" w:customStyle="1" w:styleId="Keilla">
    <w:name w:val="Keilla"/>
    <w:basedOn w:val="Sumrio1"/>
    <w:qFormat/>
    <w:pPr>
      <w:spacing w:before="360" w:after="0"/>
    </w:pPr>
    <w:rPr>
      <w:b/>
      <w:bCs/>
      <w:caps/>
      <w:szCs w:val="24"/>
    </w:rPr>
  </w:style>
  <w:style w:type="paragraph" w:styleId="Sumrio1">
    <w:name w:val="toc 1"/>
    <w:basedOn w:val="Normal"/>
    <w:next w:val="Normal"/>
    <w:autoRedefine/>
    <w:pPr>
      <w:spacing w:after="100"/>
    </w:pPr>
  </w:style>
  <w:style w:type="paragraph" w:styleId="Textodebalo">
    <w:name w:val="Balloon Text"/>
    <w:basedOn w:val="Normal"/>
    <w:qFormat/>
    <w:pPr>
      <w:spacing w:after="0" w:line="240" w:lineRule="auto"/>
    </w:pPr>
    <w:rPr>
      <w:rFonts w:ascii="Segoe UI" w:hAnsi="Segoe UI" w:cs="Segoe UI"/>
      <w:sz w:val="18"/>
      <w:szCs w:val="18"/>
    </w:rPr>
  </w:style>
  <w:style w:type="paragraph" w:customStyle="1" w:styleId="Ttulo-Num-N1">
    <w:name w:val="Título-Num-N1"/>
    <w:basedOn w:val="Ttulo1"/>
    <w:next w:val="Normal"/>
    <w:qFormat/>
    <w:pPr>
      <w:keepNext w:val="0"/>
      <w:keepLines w:val="0"/>
      <w:widowControl w:val="0"/>
      <w:numPr>
        <w:numId w:val="0"/>
      </w:numPr>
      <w:spacing w:before="360" w:after="0" w:line="259" w:lineRule="auto"/>
      <w:ind w:left="284" w:hanging="284"/>
    </w:pPr>
    <w:rPr>
      <w:rFonts w:ascii="Century Gothic" w:hAnsi="Century Gothic"/>
      <w:sz w:val="32"/>
    </w:rPr>
  </w:style>
  <w:style w:type="paragraph" w:customStyle="1" w:styleId="Ttulo-Num-N2">
    <w:name w:val="Título-Num-N2"/>
    <w:basedOn w:val="Ttulo2"/>
    <w:next w:val="Normal"/>
    <w:qFormat/>
    <w:pPr>
      <w:keepLines w:val="0"/>
      <w:numPr>
        <w:ilvl w:val="0"/>
        <w:numId w:val="0"/>
      </w:numPr>
      <w:spacing w:before="360" w:after="240" w:line="259" w:lineRule="auto"/>
      <w:ind w:left="720" w:hanging="720"/>
    </w:pPr>
    <w:rPr>
      <w:rFonts w:ascii="Century Gothic" w:hAnsi="Century Gothic"/>
      <w:sz w:val="28"/>
    </w:rPr>
  </w:style>
  <w:style w:type="paragraph" w:customStyle="1" w:styleId="Ttulo-Num-N3">
    <w:name w:val="Título-Num-N3"/>
    <w:basedOn w:val="Ttulo3"/>
    <w:next w:val="Normal"/>
    <w:qFormat/>
    <w:pPr>
      <w:keepNext w:val="0"/>
      <w:keepLines w:val="0"/>
      <w:widowControl w:val="0"/>
      <w:numPr>
        <w:ilvl w:val="0"/>
        <w:numId w:val="0"/>
      </w:numPr>
      <w:spacing w:before="240" w:after="240" w:line="259" w:lineRule="auto"/>
      <w:ind w:left="1004" w:hanging="1004"/>
    </w:pPr>
    <w:rPr>
      <w:rFonts w:ascii="Century Gothic" w:hAnsi="Century Gothic"/>
      <w:color w:val="auto"/>
    </w:rPr>
  </w:style>
  <w:style w:type="paragraph" w:customStyle="1" w:styleId="Ttulo-Num-N4">
    <w:name w:val="Título-Num-N4"/>
    <w:basedOn w:val="Ttulo4"/>
    <w:next w:val="Normal"/>
    <w:qFormat/>
    <w:pPr>
      <w:numPr>
        <w:ilvl w:val="0"/>
        <w:numId w:val="0"/>
      </w:numPr>
      <w:spacing w:before="40" w:after="0" w:line="259" w:lineRule="auto"/>
      <w:ind w:left="1077" w:hanging="1077"/>
    </w:pPr>
    <w:rPr>
      <w:rFonts w:ascii="Century Gothic" w:hAnsi="Century Gothic"/>
      <w:b/>
    </w:rPr>
  </w:style>
  <w:style w:type="paragraph" w:styleId="Assuntodocomentrio">
    <w:name w:val="annotation subject"/>
    <w:basedOn w:val="Textodecomentrio"/>
    <w:next w:val="Textodecomentrio"/>
    <w:qFormat/>
    <w:rPr>
      <w:b/>
      <w:bCs/>
    </w:rPr>
  </w:style>
  <w:style w:type="paragraph" w:customStyle="1" w:styleId="Textbody">
    <w:name w:val="Text body"/>
    <w:basedOn w:val="Normal"/>
    <w:qFormat/>
    <w:pPr>
      <w:widowControl w:val="0"/>
      <w:spacing w:after="120" w:line="240" w:lineRule="auto"/>
      <w:textAlignment w:val="baseline"/>
    </w:pPr>
    <w:rPr>
      <w:rFonts w:ascii="Arial" w:eastAsia="Arial Unicode MS" w:hAnsi="Arial" w:cs="Tahoma"/>
      <w:kern w:val="2"/>
      <w:sz w:val="20"/>
      <w:szCs w:val="24"/>
      <w:lang w:eastAsia="pt-BR"/>
    </w:rPr>
  </w:style>
  <w:style w:type="paragraph" w:customStyle="1" w:styleId="PargrafodaLista1">
    <w:name w:val="Parágrafo da Lista1"/>
    <w:basedOn w:val="Normal"/>
    <w:qFormat/>
    <w:rPr>
      <w:rFonts w:eastAsia="Times New Roman" w:cs="Times New Roman"/>
      <w:color w:val="00000A"/>
      <w:sz w:val="20"/>
      <w:szCs w:val="20"/>
      <w:lang w:eastAsia="zh-CN"/>
    </w:rPr>
  </w:style>
  <w:style w:type="paragraph" w:customStyle="1" w:styleId="Default">
    <w:name w:val="Default"/>
    <w:qFormat/>
    <w:pPr>
      <w:widowControl w:val="0"/>
    </w:pPr>
    <w:rPr>
      <w:rFonts w:ascii="Arial" w:hAnsi="Arial" w:cs="Arial"/>
      <w:color w:val="000000"/>
      <w:sz w:val="24"/>
      <w:szCs w:val="24"/>
      <w:lang w:eastAsia="pt-BR"/>
    </w:rPr>
  </w:style>
  <w:style w:type="paragraph" w:customStyle="1" w:styleId="Corpodotexto">
    <w:name w:val="Corpo do texto"/>
    <w:basedOn w:val="Normal"/>
    <w:qFormat/>
    <w:pPr>
      <w:spacing w:after="0" w:line="240" w:lineRule="auto"/>
    </w:pPr>
    <w:rPr>
      <w:rFonts w:ascii="Thorndale" w:eastAsia="HG Mincho Light J" w:hAnsi="Thorndale" w:cs="Times New Roman"/>
      <w:color w:val="000000"/>
      <w:sz w:val="20"/>
      <w:szCs w:val="20"/>
      <w:lang w:eastAsia="pt-BR"/>
    </w:rPr>
  </w:style>
  <w:style w:type="paragraph" w:styleId="Reviso">
    <w:name w:val="Revision"/>
    <w:qFormat/>
    <w:rPr>
      <w:sz w:val="22"/>
    </w:rPr>
  </w:style>
  <w:style w:type="paragraph" w:customStyle="1" w:styleId="HeaderandFooter">
    <w:name w:val="Header and Footer"/>
    <w:basedOn w:val="Normal"/>
    <w:qFormat/>
  </w:style>
  <w:style w:type="paragraph" w:styleId="Cabealho">
    <w:name w:val="header"/>
    <w:basedOn w:val="Normal"/>
    <w:pPr>
      <w:tabs>
        <w:tab w:val="center" w:pos="4252"/>
        <w:tab w:val="right" w:pos="8504"/>
      </w:tabs>
      <w:spacing w:after="0" w:line="240" w:lineRule="auto"/>
    </w:pPr>
  </w:style>
  <w:style w:type="paragraph" w:styleId="Rodap">
    <w:name w:val="footer"/>
    <w:basedOn w:val="Normal"/>
    <w:pPr>
      <w:tabs>
        <w:tab w:val="center" w:pos="4252"/>
        <w:tab w:val="right" w:pos="8504"/>
      </w:tabs>
      <w:spacing w:after="0" w:line="240" w:lineRule="auto"/>
    </w:p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Heading10">
    <w:name w:val="Heading 10"/>
    <w:basedOn w:val="Heading"/>
    <w:next w:val="Corpodetexto"/>
    <w:qFormat/>
    <w:pPr>
      <w:spacing w:before="60" w:after="60"/>
      <w:outlineLvl w:val="8"/>
    </w:pPr>
    <w:rPr>
      <w:b/>
      <w:bCs/>
      <w:sz w:val="21"/>
      <w:szCs w:val="21"/>
    </w:rPr>
  </w:style>
  <w:style w:type="paragraph" w:customStyle="1" w:styleId="Table">
    <w:name w:val="Table"/>
    <w:basedOn w:val="Legenda"/>
    <w:qFormat/>
  </w:style>
  <w:style w:type="numbering" w:customStyle="1" w:styleId="WW8Num24">
    <w:name w:val="WW8Num24"/>
    <w:qFormat/>
  </w:style>
  <w:style w:type="numbering" w:customStyle="1" w:styleId="WW8Num5">
    <w:name w:val="WW8Num5"/>
    <w:qFormat/>
  </w:style>
  <w:style w:type="numbering" w:customStyle="1" w:styleId="WW8Num4">
    <w:name w:val="WW8Num4"/>
    <w:qFormat/>
  </w:style>
  <w:style w:type="table" w:styleId="Tabelacomgrade">
    <w:name w:val="Table Grid"/>
    <w:basedOn w:val="Tabelanormal"/>
    <w:uiPriority w:val="39"/>
    <w:rsid w:val="008A1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7FAF3-E705-4AB7-97C6-1C04909FE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1944</Words>
  <Characters>10498</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Michelly Nátali Anacleto Paes</dc:creator>
  <dc:description/>
  <cp:lastModifiedBy>Rebecca Schork Rossi</cp:lastModifiedBy>
  <cp:revision>2</cp:revision>
  <cp:lastPrinted>2022-08-08T21:15:00Z</cp:lastPrinted>
  <dcterms:created xsi:type="dcterms:W3CDTF">2022-08-17T19:56:00Z</dcterms:created>
  <dcterms:modified xsi:type="dcterms:W3CDTF">2022-08-17T19:56:00Z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